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6c96c54488954e12"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BE011" w14:textId="38B97723" w:rsidR="00047D15" w:rsidRPr="00D51C47" w:rsidRDefault="00F039D1">
      <w:pPr>
        <w:rPr>
          <w:b/>
          <w:sz w:val="28"/>
          <w:szCs w:val="28"/>
        </w:rPr>
      </w:pPr>
      <w:r w:rsidRPr="00D51C47">
        <w:rPr>
          <w:b/>
          <w:sz w:val="28"/>
          <w:szCs w:val="28"/>
        </w:rPr>
        <w:t>Independent Commission on Economic Growth and the Future of Public Service in Non-Metropolitan England</w:t>
      </w:r>
      <w:r w:rsidR="00B80631" w:rsidRPr="00D51C47">
        <w:rPr>
          <w:b/>
          <w:sz w:val="28"/>
          <w:szCs w:val="28"/>
        </w:rPr>
        <w:t xml:space="preserve"> (Non-Metropolitan Commission)</w:t>
      </w:r>
    </w:p>
    <w:p w14:paraId="51BBE012" w14:textId="77777777" w:rsidR="00F039D1" w:rsidRDefault="00F039D1">
      <w:pPr>
        <w:rPr>
          <w:sz w:val="22"/>
          <w:szCs w:val="22"/>
        </w:rPr>
      </w:pPr>
    </w:p>
    <w:p w14:paraId="51BBE013" w14:textId="77777777" w:rsidR="00B80631" w:rsidRPr="00B80631" w:rsidRDefault="00B80631" w:rsidP="00B80631">
      <w:pPr>
        <w:rPr>
          <w:b/>
          <w:sz w:val="22"/>
          <w:szCs w:val="22"/>
        </w:rPr>
      </w:pPr>
      <w:r w:rsidRPr="00B80631">
        <w:rPr>
          <w:b/>
          <w:sz w:val="22"/>
          <w:szCs w:val="22"/>
        </w:rPr>
        <w:t xml:space="preserve">Purpose </w:t>
      </w:r>
    </w:p>
    <w:p w14:paraId="51BBE014" w14:textId="77777777" w:rsidR="00B80631" w:rsidRPr="00B80631" w:rsidRDefault="00B80631" w:rsidP="00B80631">
      <w:pPr>
        <w:rPr>
          <w:b/>
          <w:sz w:val="22"/>
          <w:szCs w:val="22"/>
        </w:rPr>
      </w:pPr>
      <w:r w:rsidRPr="00B80631">
        <w:rPr>
          <w:b/>
          <w:sz w:val="22"/>
          <w:szCs w:val="22"/>
        </w:rPr>
        <w:t xml:space="preserve"> </w:t>
      </w:r>
    </w:p>
    <w:p w14:paraId="51BBE015" w14:textId="77777777" w:rsidR="00B80631" w:rsidRDefault="00B80631" w:rsidP="00B80631">
      <w:pPr>
        <w:rPr>
          <w:sz w:val="22"/>
          <w:szCs w:val="22"/>
        </w:rPr>
      </w:pPr>
      <w:proofErr w:type="gramStart"/>
      <w:r>
        <w:rPr>
          <w:sz w:val="22"/>
          <w:szCs w:val="22"/>
        </w:rPr>
        <w:t xml:space="preserve">For discussion and </w:t>
      </w:r>
      <w:r w:rsidR="00266CAA">
        <w:rPr>
          <w:sz w:val="22"/>
          <w:szCs w:val="22"/>
        </w:rPr>
        <w:t>information</w:t>
      </w:r>
      <w:r>
        <w:rPr>
          <w:sz w:val="22"/>
          <w:szCs w:val="22"/>
        </w:rPr>
        <w:t>.</w:t>
      </w:r>
      <w:proofErr w:type="gramEnd"/>
    </w:p>
    <w:p w14:paraId="51BBE016" w14:textId="77777777" w:rsidR="00B80631" w:rsidRDefault="00B80631" w:rsidP="00B80631">
      <w:pPr>
        <w:rPr>
          <w:sz w:val="22"/>
          <w:szCs w:val="22"/>
        </w:rPr>
      </w:pPr>
    </w:p>
    <w:p w14:paraId="51BBE017" w14:textId="77777777" w:rsidR="00B80631" w:rsidRPr="00B80631" w:rsidRDefault="00B80631" w:rsidP="00B80631">
      <w:pPr>
        <w:rPr>
          <w:b/>
          <w:sz w:val="22"/>
          <w:szCs w:val="22"/>
        </w:rPr>
      </w:pPr>
      <w:r w:rsidRPr="00B80631">
        <w:rPr>
          <w:b/>
          <w:sz w:val="22"/>
          <w:szCs w:val="22"/>
        </w:rPr>
        <w:t xml:space="preserve">Summary </w:t>
      </w:r>
    </w:p>
    <w:p w14:paraId="51BBE018" w14:textId="77777777" w:rsidR="00B80631" w:rsidRPr="00B80631" w:rsidRDefault="00B80631" w:rsidP="00B80631">
      <w:pPr>
        <w:rPr>
          <w:b/>
          <w:sz w:val="22"/>
          <w:szCs w:val="22"/>
        </w:rPr>
      </w:pPr>
      <w:r w:rsidRPr="00B80631">
        <w:rPr>
          <w:b/>
          <w:sz w:val="22"/>
          <w:szCs w:val="22"/>
        </w:rPr>
        <w:t xml:space="preserve"> </w:t>
      </w:r>
    </w:p>
    <w:p w14:paraId="51BBE019" w14:textId="77777777" w:rsidR="00C917F4" w:rsidRDefault="00B80631" w:rsidP="00B80631">
      <w:pPr>
        <w:rPr>
          <w:sz w:val="22"/>
          <w:szCs w:val="22"/>
        </w:rPr>
      </w:pPr>
      <w:r w:rsidRPr="00B80631">
        <w:rPr>
          <w:sz w:val="22"/>
          <w:szCs w:val="22"/>
        </w:rPr>
        <w:t>This report provides an update on the</w:t>
      </w:r>
      <w:r>
        <w:rPr>
          <w:sz w:val="22"/>
          <w:szCs w:val="22"/>
        </w:rPr>
        <w:t xml:space="preserve"> activities being undertaken by the </w:t>
      </w:r>
      <w:r w:rsidRPr="00B80631">
        <w:rPr>
          <w:sz w:val="22"/>
          <w:szCs w:val="22"/>
        </w:rPr>
        <w:t>Non-Metropolitan Commission</w:t>
      </w:r>
      <w:r>
        <w:rPr>
          <w:sz w:val="22"/>
          <w:szCs w:val="22"/>
        </w:rPr>
        <w:t>. It also provides further information on the Call for Evidence (</w:t>
      </w:r>
      <w:proofErr w:type="spellStart"/>
      <w:r>
        <w:rPr>
          <w:sz w:val="22"/>
          <w:szCs w:val="22"/>
        </w:rPr>
        <w:t>CfE</w:t>
      </w:r>
      <w:proofErr w:type="spellEnd"/>
      <w:r>
        <w:rPr>
          <w:sz w:val="22"/>
          <w:szCs w:val="22"/>
        </w:rPr>
        <w:t xml:space="preserve">) and commissioned research. </w:t>
      </w:r>
    </w:p>
    <w:p w14:paraId="51BBE01A" w14:textId="77777777" w:rsidR="00C917F4" w:rsidRDefault="00C917F4" w:rsidP="00B80631">
      <w:pPr>
        <w:rPr>
          <w:sz w:val="22"/>
          <w:szCs w:val="22"/>
        </w:rPr>
      </w:pPr>
    </w:p>
    <w:p w14:paraId="51BBE01B" w14:textId="77777777" w:rsidR="00C917F4" w:rsidRDefault="00C917F4" w:rsidP="00B80631">
      <w:pPr>
        <w:rPr>
          <w:sz w:val="22"/>
          <w:szCs w:val="22"/>
        </w:rPr>
      </w:pPr>
    </w:p>
    <w:p w14:paraId="51BBE01C" w14:textId="77777777" w:rsidR="00D51C47" w:rsidRDefault="00D51C47" w:rsidP="00B80631">
      <w:pPr>
        <w:rPr>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D51C47" w:rsidRPr="0021114E" w14:paraId="51BBE027" w14:textId="77777777" w:rsidTr="00076A1E">
        <w:tc>
          <w:tcPr>
            <w:tcW w:w="9157" w:type="dxa"/>
          </w:tcPr>
          <w:p w14:paraId="51BBE01D" w14:textId="77777777" w:rsidR="00D51C47" w:rsidRPr="0021114E" w:rsidRDefault="00D51C47" w:rsidP="00076A1E">
            <w:pPr>
              <w:pStyle w:val="MainText"/>
              <w:spacing w:line="240" w:lineRule="auto"/>
              <w:rPr>
                <w:rFonts w:ascii="Arial" w:hAnsi="Arial" w:cs="Arial"/>
                <w:b/>
                <w:szCs w:val="22"/>
              </w:rPr>
            </w:pPr>
          </w:p>
          <w:p w14:paraId="51BBE01E" w14:textId="77777777" w:rsidR="00D51C47" w:rsidRDefault="00D51C47" w:rsidP="00076A1E">
            <w:pPr>
              <w:pStyle w:val="MainText"/>
              <w:spacing w:line="240" w:lineRule="auto"/>
              <w:rPr>
                <w:rFonts w:ascii="Arial" w:hAnsi="Arial" w:cs="Arial"/>
                <w:b/>
                <w:szCs w:val="22"/>
              </w:rPr>
            </w:pPr>
            <w:r w:rsidRPr="0021114E">
              <w:rPr>
                <w:rFonts w:ascii="Arial" w:hAnsi="Arial" w:cs="Arial"/>
                <w:b/>
                <w:szCs w:val="22"/>
              </w:rPr>
              <w:t>Recommendation</w:t>
            </w:r>
          </w:p>
          <w:p w14:paraId="51BBE01F" w14:textId="77777777" w:rsidR="00D51C47" w:rsidRPr="0021114E" w:rsidRDefault="00D51C47" w:rsidP="00076A1E">
            <w:pPr>
              <w:pStyle w:val="MainText"/>
              <w:spacing w:line="240" w:lineRule="auto"/>
              <w:rPr>
                <w:rFonts w:ascii="Arial" w:hAnsi="Arial" w:cs="Arial"/>
                <w:szCs w:val="22"/>
              </w:rPr>
            </w:pPr>
          </w:p>
          <w:p w14:paraId="51BBE020" w14:textId="77777777" w:rsidR="00D51C47" w:rsidRDefault="00D51C47" w:rsidP="00D51C47">
            <w:pPr>
              <w:rPr>
                <w:sz w:val="22"/>
                <w:szCs w:val="22"/>
              </w:rPr>
            </w:pPr>
            <w:r>
              <w:rPr>
                <w:sz w:val="22"/>
                <w:szCs w:val="22"/>
              </w:rPr>
              <w:t xml:space="preserve">Members are asked to note and discuss the activities of the Commission and promote the call for evidence in their local areas. </w:t>
            </w:r>
          </w:p>
          <w:p w14:paraId="51BBE021" w14:textId="77777777" w:rsidR="00D51C47" w:rsidRPr="0021114E" w:rsidRDefault="00D51C47" w:rsidP="00076A1E">
            <w:pPr>
              <w:pStyle w:val="MainText"/>
              <w:spacing w:line="240" w:lineRule="auto"/>
              <w:rPr>
                <w:rFonts w:ascii="Arial" w:hAnsi="Arial" w:cs="Arial"/>
                <w:szCs w:val="22"/>
              </w:rPr>
            </w:pPr>
          </w:p>
          <w:p w14:paraId="51BBE022" w14:textId="77777777" w:rsidR="00D51C47" w:rsidRPr="0021114E" w:rsidRDefault="00D51C47" w:rsidP="00076A1E">
            <w:pPr>
              <w:pStyle w:val="MainText"/>
              <w:spacing w:line="240" w:lineRule="auto"/>
              <w:rPr>
                <w:rFonts w:ascii="Arial" w:hAnsi="Arial" w:cs="Arial"/>
                <w:b/>
                <w:szCs w:val="22"/>
              </w:rPr>
            </w:pPr>
            <w:r w:rsidRPr="0021114E">
              <w:rPr>
                <w:rFonts w:ascii="Arial" w:hAnsi="Arial" w:cs="Arial"/>
                <w:b/>
                <w:szCs w:val="22"/>
              </w:rPr>
              <w:t>Action</w:t>
            </w:r>
          </w:p>
          <w:p w14:paraId="51BBE023" w14:textId="77777777" w:rsidR="00D51C47" w:rsidRDefault="00D51C47" w:rsidP="00076A1E">
            <w:pPr>
              <w:pStyle w:val="MainText"/>
              <w:spacing w:line="240" w:lineRule="auto"/>
              <w:rPr>
                <w:rFonts w:ascii="Arial" w:hAnsi="Arial" w:cs="Arial"/>
                <w:b/>
                <w:szCs w:val="22"/>
              </w:rPr>
            </w:pPr>
          </w:p>
          <w:p w14:paraId="51BBE024" w14:textId="77777777" w:rsidR="00D51C47" w:rsidRPr="0021114E" w:rsidRDefault="00D51C47" w:rsidP="00076A1E">
            <w:pPr>
              <w:pStyle w:val="MainText"/>
              <w:spacing w:line="240" w:lineRule="auto"/>
              <w:rPr>
                <w:rFonts w:ascii="Arial" w:hAnsi="Arial" w:cs="Arial"/>
                <w:szCs w:val="22"/>
              </w:rPr>
            </w:pPr>
            <w:r>
              <w:rPr>
                <w:rFonts w:ascii="Arial" w:hAnsi="Arial" w:cs="Arial"/>
                <w:szCs w:val="22"/>
              </w:rPr>
              <w:t xml:space="preserve">Officers to progress the project as directed by the board. </w:t>
            </w:r>
          </w:p>
          <w:p w14:paraId="51BBE025" w14:textId="77777777" w:rsidR="00D51C47" w:rsidRPr="0021114E" w:rsidRDefault="00D51C47" w:rsidP="00076A1E">
            <w:pPr>
              <w:pStyle w:val="MainText"/>
              <w:spacing w:line="240" w:lineRule="auto"/>
              <w:rPr>
                <w:rFonts w:ascii="Arial" w:hAnsi="Arial" w:cs="Arial"/>
                <w:b/>
                <w:szCs w:val="22"/>
              </w:rPr>
            </w:pPr>
          </w:p>
          <w:p w14:paraId="51BBE026" w14:textId="77777777" w:rsidR="00D51C47" w:rsidRPr="0021114E" w:rsidRDefault="00D51C47" w:rsidP="00076A1E">
            <w:pPr>
              <w:pStyle w:val="MainText"/>
              <w:spacing w:line="240" w:lineRule="auto"/>
              <w:rPr>
                <w:rFonts w:ascii="Arial" w:hAnsi="Arial" w:cs="Arial"/>
                <w:b/>
                <w:szCs w:val="22"/>
              </w:rPr>
            </w:pPr>
          </w:p>
        </w:tc>
      </w:tr>
    </w:tbl>
    <w:p w14:paraId="51BBE028" w14:textId="77777777" w:rsidR="00D51C47" w:rsidRPr="0021114E" w:rsidRDefault="00D51C47" w:rsidP="00D51C47">
      <w:pPr>
        <w:pStyle w:val="MainText"/>
        <w:spacing w:line="240" w:lineRule="auto"/>
        <w:rPr>
          <w:rFonts w:ascii="Arial" w:hAnsi="Arial" w:cs="Arial"/>
          <w:szCs w:val="22"/>
        </w:rPr>
      </w:pPr>
    </w:p>
    <w:p w14:paraId="51BBE029" w14:textId="77777777" w:rsidR="00D51C47" w:rsidRPr="0021114E" w:rsidRDefault="00D51C47" w:rsidP="00D51C47">
      <w:pPr>
        <w:pStyle w:val="MainText"/>
        <w:spacing w:line="240" w:lineRule="auto"/>
        <w:rPr>
          <w:rFonts w:ascii="Arial" w:hAnsi="Arial" w:cs="Arial"/>
          <w:szCs w:val="22"/>
        </w:rPr>
      </w:pPr>
    </w:p>
    <w:p w14:paraId="51BBE02A" w14:textId="77777777" w:rsidR="00D51C47" w:rsidRPr="0021114E" w:rsidRDefault="00D51C47" w:rsidP="00D51C47">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86"/>
        <w:gridCol w:w="5936"/>
      </w:tblGrid>
      <w:tr w:rsidR="00D51C47" w:rsidRPr="0021114E" w14:paraId="51BBE02D" w14:textId="77777777" w:rsidTr="00076A1E">
        <w:tc>
          <w:tcPr>
            <w:tcW w:w="2802" w:type="dxa"/>
          </w:tcPr>
          <w:p w14:paraId="51BBE02B" w14:textId="77777777" w:rsidR="00D51C47" w:rsidRPr="0021114E" w:rsidRDefault="00D51C47" w:rsidP="00076A1E">
            <w:pPr>
              <w:pStyle w:val="MainText"/>
              <w:spacing w:before="120" w:line="240" w:lineRule="auto"/>
              <w:rPr>
                <w:rFonts w:ascii="Arial" w:hAnsi="Arial" w:cs="Arial"/>
                <w:b/>
                <w:szCs w:val="22"/>
              </w:rPr>
            </w:pPr>
          </w:p>
        </w:tc>
        <w:tc>
          <w:tcPr>
            <w:tcW w:w="6378" w:type="dxa"/>
          </w:tcPr>
          <w:p w14:paraId="51BBE02C" w14:textId="77777777" w:rsidR="00D51C47" w:rsidRDefault="00D51C47" w:rsidP="00076A1E">
            <w:pPr>
              <w:pStyle w:val="MainText"/>
              <w:spacing w:before="120" w:line="240" w:lineRule="auto"/>
              <w:rPr>
                <w:rFonts w:ascii="Arial" w:hAnsi="Arial" w:cs="Arial"/>
                <w:szCs w:val="22"/>
              </w:rPr>
            </w:pPr>
          </w:p>
        </w:tc>
      </w:tr>
      <w:tr w:rsidR="00D51C47" w:rsidRPr="0021114E" w14:paraId="51BBE030" w14:textId="77777777" w:rsidTr="00076A1E">
        <w:tc>
          <w:tcPr>
            <w:tcW w:w="2802" w:type="dxa"/>
          </w:tcPr>
          <w:p w14:paraId="51BBE02E" w14:textId="77777777" w:rsidR="00D51C47" w:rsidRPr="0021114E" w:rsidRDefault="00D51C47" w:rsidP="00076A1E">
            <w:pPr>
              <w:pStyle w:val="MainText"/>
              <w:spacing w:before="120" w:line="240" w:lineRule="auto"/>
              <w:rPr>
                <w:rFonts w:ascii="Arial" w:hAnsi="Arial" w:cs="Arial"/>
                <w:szCs w:val="22"/>
              </w:rPr>
            </w:pPr>
            <w:r w:rsidRPr="0021114E">
              <w:rPr>
                <w:rFonts w:ascii="Arial" w:hAnsi="Arial" w:cs="Arial"/>
                <w:b/>
                <w:szCs w:val="22"/>
              </w:rPr>
              <w:t>Contact officer:</w:t>
            </w:r>
            <w:r w:rsidRPr="0021114E">
              <w:rPr>
                <w:rFonts w:ascii="Arial" w:hAnsi="Arial" w:cs="Arial"/>
                <w:szCs w:val="22"/>
              </w:rPr>
              <w:t xml:space="preserve"> </w:t>
            </w:r>
          </w:p>
        </w:tc>
        <w:tc>
          <w:tcPr>
            <w:tcW w:w="6378" w:type="dxa"/>
          </w:tcPr>
          <w:p w14:paraId="51BBE02F" w14:textId="77777777" w:rsidR="00D51C47" w:rsidRPr="0021114E" w:rsidRDefault="00D51C47" w:rsidP="00076A1E">
            <w:pPr>
              <w:pStyle w:val="MainText"/>
              <w:spacing w:before="120" w:line="240" w:lineRule="auto"/>
              <w:rPr>
                <w:rFonts w:ascii="Arial" w:hAnsi="Arial" w:cs="Arial"/>
                <w:szCs w:val="22"/>
              </w:rPr>
            </w:pPr>
            <w:r>
              <w:rPr>
                <w:rFonts w:ascii="Arial" w:hAnsi="Arial" w:cs="Arial"/>
                <w:szCs w:val="22"/>
              </w:rPr>
              <w:t>Carolyn Downs</w:t>
            </w:r>
          </w:p>
        </w:tc>
      </w:tr>
      <w:tr w:rsidR="00D51C47" w:rsidRPr="0021114E" w14:paraId="51BBE033" w14:textId="77777777" w:rsidTr="00076A1E">
        <w:tc>
          <w:tcPr>
            <w:tcW w:w="2802" w:type="dxa"/>
          </w:tcPr>
          <w:p w14:paraId="51BBE031" w14:textId="77777777" w:rsidR="00D51C47" w:rsidRPr="0021114E" w:rsidRDefault="00D51C47" w:rsidP="00076A1E">
            <w:pPr>
              <w:pStyle w:val="MainText"/>
              <w:spacing w:before="120" w:line="240" w:lineRule="auto"/>
              <w:rPr>
                <w:rFonts w:ascii="Arial" w:hAnsi="Arial" w:cs="Arial"/>
                <w:b/>
                <w:szCs w:val="22"/>
              </w:rPr>
            </w:pPr>
            <w:r w:rsidRPr="0021114E">
              <w:rPr>
                <w:rFonts w:ascii="Arial" w:hAnsi="Arial" w:cs="Arial"/>
                <w:b/>
                <w:szCs w:val="22"/>
              </w:rPr>
              <w:t>Position:</w:t>
            </w:r>
          </w:p>
        </w:tc>
        <w:tc>
          <w:tcPr>
            <w:tcW w:w="6378" w:type="dxa"/>
          </w:tcPr>
          <w:p w14:paraId="51BBE032" w14:textId="77777777" w:rsidR="00D51C47" w:rsidRPr="0021114E" w:rsidRDefault="00D51C47" w:rsidP="00076A1E">
            <w:pPr>
              <w:pStyle w:val="MainText"/>
              <w:spacing w:before="120" w:line="240" w:lineRule="auto"/>
              <w:rPr>
                <w:rFonts w:ascii="Arial" w:hAnsi="Arial" w:cs="Arial"/>
                <w:szCs w:val="22"/>
              </w:rPr>
            </w:pPr>
            <w:r>
              <w:rPr>
                <w:rFonts w:ascii="Arial" w:hAnsi="Arial" w:cs="Arial"/>
                <w:szCs w:val="22"/>
              </w:rPr>
              <w:t>LGA Chief Executive</w:t>
            </w:r>
          </w:p>
        </w:tc>
      </w:tr>
      <w:tr w:rsidR="00D51C47" w:rsidRPr="0021114E" w14:paraId="51BBE036" w14:textId="77777777" w:rsidTr="00076A1E">
        <w:tc>
          <w:tcPr>
            <w:tcW w:w="2802" w:type="dxa"/>
          </w:tcPr>
          <w:p w14:paraId="51BBE034" w14:textId="77777777" w:rsidR="00D51C47" w:rsidRPr="0021114E" w:rsidRDefault="00D51C47" w:rsidP="00076A1E">
            <w:pPr>
              <w:pStyle w:val="MainText"/>
              <w:spacing w:before="120" w:line="240" w:lineRule="auto"/>
              <w:rPr>
                <w:rFonts w:ascii="Arial" w:hAnsi="Arial" w:cs="Arial"/>
                <w:b/>
                <w:szCs w:val="22"/>
              </w:rPr>
            </w:pPr>
            <w:r w:rsidRPr="0021114E">
              <w:rPr>
                <w:rFonts w:ascii="Arial" w:hAnsi="Arial" w:cs="Arial"/>
                <w:b/>
                <w:szCs w:val="22"/>
              </w:rPr>
              <w:t>Phone no:</w:t>
            </w:r>
          </w:p>
        </w:tc>
        <w:tc>
          <w:tcPr>
            <w:tcW w:w="6378" w:type="dxa"/>
          </w:tcPr>
          <w:p w14:paraId="51BBE035" w14:textId="77777777" w:rsidR="00D51C47" w:rsidRPr="0021114E" w:rsidRDefault="00D51C47" w:rsidP="00D51C47">
            <w:pPr>
              <w:pStyle w:val="MainText"/>
              <w:spacing w:before="120" w:line="240" w:lineRule="auto"/>
              <w:rPr>
                <w:rFonts w:ascii="Arial" w:hAnsi="Arial" w:cs="Arial"/>
                <w:szCs w:val="22"/>
              </w:rPr>
            </w:pPr>
            <w:r w:rsidRPr="00D51C47">
              <w:rPr>
                <w:rFonts w:ascii="Arial" w:hAnsi="Arial" w:cs="Arial"/>
                <w:szCs w:val="22"/>
              </w:rPr>
              <w:t>020 7664 3213</w:t>
            </w:r>
          </w:p>
        </w:tc>
      </w:tr>
      <w:tr w:rsidR="00D51C47" w:rsidRPr="0021114E" w14:paraId="51BBE039" w14:textId="77777777" w:rsidTr="00076A1E">
        <w:trPr>
          <w:trHeight w:val="507"/>
        </w:trPr>
        <w:tc>
          <w:tcPr>
            <w:tcW w:w="2802" w:type="dxa"/>
          </w:tcPr>
          <w:p w14:paraId="51BBE037" w14:textId="77777777" w:rsidR="00D51C47" w:rsidRPr="0021114E" w:rsidRDefault="00D51C47" w:rsidP="00076A1E">
            <w:pPr>
              <w:pStyle w:val="MainText"/>
              <w:spacing w:before="120" w:line="240" w:lineRule="auto"/>
              <w:rPr>
                <w:rFonts w:ascii="Arial" w:hAnsi="Arial" w:cs="Arial"/>
                <w:b/>
                <w:szCs w:val="22"/>
              </w:rPr>
            </w:pPr>
            <w:r>
              <w:rPr>
                <w:rFonts w:ascii="Arial" w:hAnsi="Arial" w:cs="Arial"/>
                <w:b/>
                <w:szCs w:val="22"/>
              </w:rPr>
              <w:t>E</w:t>
            </w:r>
            <w:r w:rsidRPr="0021114E">
              <w:rPr>
                <w:rFonts w:ascii="Arial" w:hAnsi="Arial" w:cs="Arial"/>
                <w:b/>
                <w:szCs w:val="22"/>
              </w:rPr>
              <w:t>mail:</w:t>
            </w:r>
          </w:p>
        </w:tc>
        <w:tc>
          <w:tcPr>
            <w:tcW w:w="6378" w:type="dxa"/>
          </w:tcPr>
          <w:p w14:paraId="51BBE038" w14:textId="77777777" w:rsidR="00D51C47" w:rsidRPr="00D51C47" w:rsidRDefault="00A44CE5" w:rsidP="00076A1E">
            <w:pPr>
              <w:pStyle w:val="MainText"/>
              <w:spacing w:before="120" w:line="240" w:lineRule="auto"/>
              <w:rPr>
                <w:rFonts w:ascii="Arial" w:hAnsi="Arial" w:cs="Arial"/>
                <w:szCs w:val="22"/>
              </w:rPr>
            </w:pPr>
            <w:hyperlink r:id="rId8" w:history="1">
              <w:r w:rsidR="00D51C47" w:rsidRPr="00CB5601">
                <w:rPr>
                  <w:rStyle w:val="Hyperlink"/>
                  <w:rFonts w:ascii="Arial" w:hAnsi="Arial" w:cs="Arial"/>
                </w:rPr>
                <w:t>carolyn.downs@local.gov.uk</w:t>
              </w:r>
            </w:hyperlink>
            <w:r w:rsidR="00D51C47" w:rsidRPr="00D51C47">
              <w:rPr>
                <w:rFonts w:ascii="Arial" w:hAnsi="Arial" w:cs="Arial"/>
              </w:rPr>
              <w:t xml:space="preserve"> </w:t>
            </w:r>
            <w:r w:rsidR="00D51C47" w:rsidRPr="00D51C47">
              <w:rPr>
                <w:rFonts w:ascii="Arial" w:hAnsi="Arial" w:cs="Arial"/>
                <w:szCs w:val="22"/>
              </w:rPr>
              <w:t xml:space="preserve"> </w:t>
            </w:r>
          </w:p>
        </w:tc>
      </w:tr>
    </w:tbl>
    <w:p w14:paraId="51BBE03A" w14:textId="77777777" w:rsidR="00B80631" w:rsidRDefault="00B80631" w:rsidP="00B80631">
      <w:pPr>
        <w:rPr>
          <w:sz w:val="22"/>
          <w:szCs w:val="22"/>
        </w:rPr>
      </w:pPr>
      <w:r w:rsidRPr="00B80631">
        <w:rPr>
          <w:sz w:val="22"/>
          <w:szCs w:val="22"/>
        </w:rPr>
        <w:br w:type="page"/>
      </w:r>
    </w:p>
    <w:p w14:paraId="51BBE03B" w14:textId="3E1C3B21" w:rsidR="00D51C47" w:rsidRPr="00D51C47" w:rsidRDefault="00D51C47" w:rsidP="00D51C47">
      <w:pPr>
        <w:rPr>
          <w:b/>
          <w:sz w:val="28"/>
          <w:szCs w:val="28"/>
        </w:rPr>
      </w:pPr>
      <w:r w:rsidRPr="00D51C47">
        <w:rPr>
          <w:b/>
          <w:sz w:val="28"/>
          <w:szCs w:val="28"/>
        </w:rPr>
        <w:lastRenderedPageBreak/>
        <w:t>Independent Commission on Economic Growth and the Future of Public Service in Non-Metropolitan England (Non-Metropolitan Commission)</w:t>
      </w:r>
    </w:p>
    <w:p w14:paraId="51BBE03C" w14:textId="77777777" w:rsidR="00D51C47" w:rsidRPr="00B80631" w:rsidRDefault="00D51C47" w:rsidP="00B80631">
      <w:pPr>
        <w:rPr>
          <w:sz w:val="22"/>
          <w:szCs w:val="22"/>
        </w:rPr>
      </w:pPr>
    </w:p>
    <w:p w14:paraId="51BBE03D" w14:textId="77777777" w:rsidR="00016081" w:rsidRDefault="00016081">
      <w:pPr>
        <w:rPr>
          <w:b/>
          <w:sz w:val="22"/>
          <w:szCs w:val="22"/>
        </w:rPr>
      </w:pPr>
      <w:r>
        <w:rPr>
          <w:b/>
          <w:sz w:val="22"/>
          <w:szCs w:val="22"/>
        </w:rPr>
        <w:t>Purpose of the Commission</w:t>
      </w:r>
    </w:p>
    <w:p w14:paraId="51BBE03E" w14:textId="77777777" w:rsidR="00016081" w:rsidRDefault="00016081">
      <w:pPr>
        <w:rPr>
          <w:b/>
          <w:sz w:val="22"/>
          <w:szCs w:val="22"/>
        </w:rPr>
      </w:pPr>
    </w:p>
    <w:p w14:paraId="51BBE03F" w14:textId="77777777" w:rsidR="00F23E76" w:rsidRPr="00D51C47" w:rsidRDefault="00016081" w:rsidP="00D51C47">
      <w:pPr>
        <w:pStyle w:val="ListParagraph"/>
        <w:numPr>
          <w:ilvl w:val="0"/>
          <w:numId w:val="5"/>
        </w:numPr>
        <w:ind w:left="426" w:hanging="426"/>
        <w:rPr>
          <w:sz w:val="22"/>
          <w:szCs w:val="22"/>
        </w:rPr>
      </w:pPr>
      <w:r w:rsidRPr="00D51C47">
        <w:rPr>
          <w:sz w:val="22"/>
          <w:szCs w:val="22"/>
        </w:rPr>
        <w:t>The Commission is undertaking a review of economic growth and the future of public ser</w:t>
      </w:r>
      <w:r w:rsidR="00F23E76" w:rsidRPr="00D51C47">
        <w:rPr>
          <w:sz w:val="22"/>
          <w:szCs w:val="22"/>
        </w:rPr>
        <w:t>vices in non-metropolitan areas. The Commission will aim to gather evidence (via a call for evidence and research)</w:t>
      </w:r>
      <w:r w:rsidR="00D51C47" w:rsidRPr="00D51C47">
        <w:rPr>
          <w:sz w:val="22"/>
          <w:szCs w:val="22"/>
        </w:rPr>
        <w:t>,</w:t>
      </w:r>
      <w:r w:rsidR="00F23E76" w:rsidRPr="00D51C47">
        <w:rPr>
          <w:sz w:val="22"/>
          <w:szCs w:val="22"/>
        </w:rPr>
        <w:t xml:space="preserve"> produce an interim report by the </w:t>
      </w:r>
      <w:r w:rsidR="00266CAA" w:rsidRPr="00D51C47">
        <w:rPr>
          <w:sz w:val="22"/>
          <w:szCs w:val="22"/>
        </w:rPr>
        <w:t>s</w:t>
      </w:r>
      <w:r w:rsidR="00D51C47" w:rsidRPr="00D51C47">
        <w:rPr>
          <w:sz w:val="22"/>
          <w:szCs w:val="22"/>
        </w:rPr>
        <w:t>ummer of 2014</w:t>
      </w:r>
      <w:r w:rsidR="00F23E76" w:rsidRPr="00D51C47">
        <w:rPr>
          <w:sz w:val="22"/>
          <w:szCs w:val="22"/>
        </w:rPr>
        <w:t xml:space="preserve"> and make recommendations in a final report by the </w:t>
      </w:r>
      <w:r w:rsidR="00266CAA" w:rsidRPr="00D51C47">
        <w:rPr>
          <w:sz w:val="22"/>
          <w:szCs w:val="22"/>
        </w:rPr>
        <w:t>a</w:t>
      </w:r>
      <w:r w:rsidR="00F23E76" w:rsidRPr="00D51C47">
        <w:rPr>
          <w:sz w:val="22"/>
          <w:szCs w:val="22"/>
        </w:rPr>
        <w:t xml:space="preserve">utumn. </w:t>
      </w:r>
    </w:p>
    <w:p w14:paraId="51BBE040" w14:textId="77777777" w:rsidR="007D1822" w:rsidRDefault="007D1822" w:rsidP="00D51C47">
      <w:pPr>
        <w:ind w:left="426" w:hanging="426"/>
        <w:rPr>
          <w:sz w:val="22"/>
          <w:szCs w:val="22"/>
        </w:rPr>
      </w:pPr>
    </w:p>
    <w:p w14:paraId="51BBE041" w14:textId="77777777" w:rsidR="007D1822" w:rsidRPr="00D51C47" w:rsidRDefault="007D1822" w:rsidP="00D51C47">
      <w:pPr>
        <w:pStyle w:val="ListParagraph"/>
        <w:numPr>
          <w:ilvl w:val="0"/>
          <w:numId w:val="5"/>
        </w:numPr>
        <w:ind w:left="426" w:hanging="426"/>
        <w:rPr>
          <w:sz w:val="22"/>
          <w:szCs w:val="22"/>
        </w:rPr>
      </w:pPr>
      <w:r w:rsidRPr="00D51C47">
        <w:rPr>
          <w:sz w:val="22"/>
          <w:szCs w:val="22"/>
        </w:rPr>
        <w:t xml:space="preserve">The Commission’s review will feed into the work programme of the People and Places Board. </w:t>
      </w:r>
    </w:p>
    <w:p w14:paraId="51BBE042" w14:textId="77777777" w:rsidR="00016081" w:rsidRPr="00F23E76" w:rsidRDefault="00016081">
      <w:pPr>
        <w:rPr>
          <w:sz w:val="22"/>
          <w:szCs w:val="22"/>
        </w:rPr>
      </w:pPr>
    </w:p>
    <w:p w14:paraId="51BBE043" w14:textId="77777777" w:rsidR="00F039D1" w:rsidRDefault="00F039D1">
      <w:pPr>
        <w:rPr>
          <w:b/>
          <w:sz w:val="22"/>
          <w:szCs w:val="22"/>
        </w:rPr>
      </w:pPr>
      <w:r>
        <w:rPr>
          <w:b/>
          <w:sz w:val="22"/>
          <w:szCs w:val="22"/>
        </w:rPr>
        <w:t>Commission membership</w:t>
      </w:r>
    </w:p>
    <w:p w14:paraId="51BBE044" w14:textId="77777777" w:rsidR="00F039D1" w:rsidRDefault="00F039D1">
      <w:pPr>
        <w:rPr>
          <w:b/>
          <w:sz w:val="22"/>
          <w:szCs w:val="22"/>
        </w:rPr>
      </w:pPr>
    </w:p>
    <w:p w14:paraId="51BBE045" w14:textId="77777777" w:rsidR="00F039D1" w:rsidRDefault="00016081" w:rsidP="00D51C47">
      <w:pPr>
        <w:pStyle w:val="ListParagraph"/>
        <w:numPr>
          <w:ilvl w:val="0"/>
          <w:numId w:val="5"/>
        </w:numPr>
        <w:ind w:left="426" w:hanging="426"/>
        <w:rPr>
          <w:sz w:val="22"/>
          <w:szCs w:val="22"/>
        </w:rPr>
      </w:pPr>
      <w:r>
        <w:rPr>
          <w:sz w:val="22"/>
          <w:szCs w:val="22"/>
        </w:rPr>
        <w:t xml:space="preserve">The </w:t>
      </w:r>
      <w:r w:rsidR="00C917F4">
        <w:rPr>
          <w:sz w:val="22"/>
          <w:szCs w:val="22"/>
        </w:rPr>
        <w:t>Commissioners are</w:t>
      </w:r>
      <w:r>
        <w:rPr>
          <w:sz w:val="22"/>
          <w:szCs w:val="22"/>
        </w:rPr>
        <w:t>:</w:t>
      </w:r>
    </w:p>
    <w:p w14:paraId="51BBE046" w14:textId="77777777" w:rsidR="00016081" w:rsidRDefault="00016081">
      <w:pPr>
        <w:rPr>
          <w:sz w:val="22"/>
          <w:szCs w:val="22"/>
        </w:rPr>
      </w:pPr>
    </w:p>
    <w:tbl>
      <w:tblPr>
        <w:tblStyle w:val="TableGrid"/>
        <w:tblW w:w="0" w:type="auto"/>
        <w:tblLook w:val="04A0" w:firstRow="1" w:lastRow="0" w:firstColumn="1" w:lastColumn="0" w:noHBand="0" w:noVBand="1"/>
      </w:tblPr>
      <w:tblGrid>
        <w:gridCol w:w="4261"/>
        <w:gridCol w:w="4261"/>
      </w:tblGrid>
      <w:tr w:rsidR="00016081" w:rsidRPr="00976E0F" w14:paraId="51BBE049" w14:textId="77777777" w:rsidTr="00016081">
        <w:tc>
          <w:tcPr>
            <w:tcW w:w="4261" w:type="dxa"/>
            <w:vAlign w:val="center"/>
          </w:tcPr>
          <w:p w14:paraId="51BBE047" w14:textId="77777777" w:rsidR="00016081" w:rsidRPr="00016081" w:rsidRDefault="00016081" w:rsidP="00016081">
            <w:pPr>
              <w:rPr>
                <w:b/>
                <w:sz w:val="22"/>
                <w:szCs w:val="22"/>
              </w:rPr>
            </w:pPr>
            <w:r w:rsidRPr="00016081">
              <w:rPr>
                <w:b/>
                <w:sz w:val="22"/>
                <w:szCs w:val="22"/>
              </w:rPr>
              <w:t>Commissioner</w:t>
            </w:r>
          </w:p>
        </w:tc>
        <w:tc>
          <w:tcPr>
            <w:tcW w:w="4261" w:type="dxa"/>
            <w:vAlign w:val="center"/>
          </w:tcPr>
          <w:p w14:paraId="51BBE048" w14:textId="77777777" w:rsidR="00016081" w:rsidRPr="00016081" w:rsidRDefault="00016081" w:rsidP="00016081">
            <w:pPr>
              <w:pStyle w:val="s6"/>
              <w:spacing w:before="0" w:beforeAutospacing="0" w:after="0" w:afterAutospacing="0" w:line="270" w:lineRule="atLeast"/>
              <w:rPr>
                <w:rStyle w:val="s9"/>
                <w:rFonts w:ascii="Arial" w:hAnsi="Arial" w:cs="Arial"/>
                <w:b/>
                <w:sz w:val="22"/>
                <w:szCs w:val="22"/>
              </w:rPr>
            </w:pPr>
            <w:r w:rsidRPr="00016081">
              <w:rPr>
                <w:rStyle w:val="s9"/>
                <w:rFonts w:ascii="Arial" w:hAnsi="Arial" w:cs="Arial"/>
                <w:b/>
                <w:sz w:val="22"/>
                <w:szCs w:val="22"/>
              </w:rPr>
              <w:t>Organisation</w:t>
            </w:r>
          </w:p>
        </w:tc>
      </w:tr>
      <w:tr w:rsidR="00016081" w:rsidRPr="00976E0F" w14:paraId="51BBE04C" w14:textId="77777777" w:rsidTr="00016081">
        <w:tc>
          <w:tcPr>
            <w:tcW w:w="4261" w:type="dxa"/>
            <w:vAlign w:val="center"/>
          </w:tcPr>
          <w:p w14:paraId="51BBE04A" w14:textId="77777777" w:rsidR="00016081" w:rsidRPr="00016081" w:rsidRDefault="00016081" w:rsidP="00016081">
            <w:pPr>
              <w:rPr>
                <w:sz w:val="22"/>
                <w:szCs w:val="22"/>
              </w:rPr>
            </w:pPr>
            <w:r w:rsidRPr="00016081">
              <w:rPr>
                <w:sz w:val="22"/>
                <w:szCs w:val="22"/>
              </w:rPr>
              <w:t>Sir John Peace (Chair)</w:t>
            </w:r>
          </w:p>
        </w:tc>
        <w:tc>
          <w:tcPr>
            <w:tcW w:w="4261" w:type="dxa"/>
            <w:vAlign w:val="center"/>
          </w:tcPr>
          <w:p w14:paraId="51BBE04B" w14:textId="77777777" w:rsidR="00016081" w:rsidRPr="00016081" w:rsidRDefault="00016081" w:rsidP="00016081">
            <w:pPr>
              <w:pStyle w:val="s6"/>
              <w:spacing w:before="0" w:beforeAutospacing="0" w:after="0" w:afterAutospacing="0" w:line="270" w:lineRule="atLeast"/>
              <w:rPr>
                <w:rFonts w:ascii="Arial" w:hAnsi="Arial" w:cs="Arial"/>
                <w:sz w:val="22"/>
                <w:szCs w:val="22"/>
              </w:rPr>
            </w:pPr>
            <w:r w:rsidRPr="00016081">
              <w:rPr>
                <w:rStyle w:val="s9"/>
                <w:rFonts w:ascii="Arial" w:hAnsi="Arial" w:cs="Arial"/>
                <w:sz w:val="22"/>
                <w:szCs w:val="22"/>
              </w:rPr>
              <w:t>Chairman of Standard Chartered PLC</w:t>
            </w:r>
          </w:p>
        </w:tc>
      </w:tr>
      <w:tr w:rsidR="00016081" w:rsidRPr="00976E0F" w14:paraId="51BBE04F" w14:textId="77777777" w:rsidTr="00016081">
        <w:tc>
          <w:tcPr>
            <w:tcW w:w="4261" w:type="dxa"/>
            <w:vAlign w:val="center"/>
          </w:tcPr>
          <w:p w14:paraId="51BBE04D" w14:textId="77777777" w:rsidR="00016081" w:rsidRPr="00016081" w:rsidRDefault="00016081" w:rsidP="00016081">
            <w:pPr>
              <w:rPr>
                <w:sz w:val="22"/>
                <w:szCs w:val="22"/>
              </w:rPr>
            </w:pPr>
            <w:proofErr w:type="spellStart"/>
            <w:r w:rsidRPr="00016081">
              <w:rPr>
                <w:sz w:val="22"/>
                <w:szCs w:val="22"/>
              </w:rPr>
              <w:t>Viscountess</w:t>
            </w:r>
            <w:proofErr w:type="spellEnd"/>
            <w:r w:rsidRPr="00016081">
              <w:rPr>
                <w:sz w:val="22"/>
                <w:szCs w:val="22"/>
              </w:rPr>
              <w:t xml:space="preserve"> Cobham</w:t>
            </w:r>
          </w:p>
        </w:tc>
        <w:tc>
          <w:tcPr>
            <w:tcW w:w="4261" w:type="dxa"/>
            <w:vAlign w:val="center"/>
          </w:tcPr>
          <w:p w14:paraId="51BBE04E" w14:textId="77777777" w:rsidR="00016081" w:rsidRPr="00016081" w:rsidRDefault="00016081" w:rsidP="00E60550">
            <w:pPr>
              <w:rPr>
                <w:sz w:val="22"/>
                <w:szCs w:val="22"/>
                <w:highlight w:val="yellow"/>
              </w:rPr>
            </w:pPr>
            <w:r w:rsidRPr="00016081">
              <w:rPr>
                <w:sz w:val="22"/>
                <w:szCs w:val="22"/>
              </w:rPr>
              <w:t xml:space="preserve">Chair of </w:t>
            </w:r>
            <w:r w:rsidR="00E60550">
              <w:rPr>
                <w:sz w:val="22"/>
                <w:szCs w:val="22"/>
              </w:rPr>
              <w:t>Visit England</w:t>
            </w:r>
          </w:p>
        </w:tc>
      </w:tr>
      <w:tr w:rsidR="00016081" w:rsidRPr="00976E0F" w14:paraId="51BBE054" w14:textId="77777777" w:rsidTr="00016081">
        <w:tc>
          <w:tcPr>
            <w:tcW w:w="4261" w:type="dxa"/>
            <w:vAlign w:val="center"/>
          </w:tcPr>
          <w:p w14:paraId="51BBE050" w14:textId="77777777" w:rsidR="00016081" w:rsidRPr="00016081" w:rsidRDefault="00016081" w:rsidP="00016081">
            <w:pPr>
              <w:rPr>
                <w:sz w:val="22"/>
                <w:szCs w:val="22"/>
              </w:rPr>
            </w:pPr>
            <w:r w:rsidRPr="00016081">
              <w:rPr>
                <w:sz w:val="22"/>
                <w:szCs w:val="22"/>
              </w:rPr>
              <w:t xml:space="preserve">Sir Tony </w:t>
            </w:r>
            <w:proofErr w:type="spellStart"/>
            <w:r w:rsidRPr="00016081">
              <w:rPr>
                <w:sz w:val="22"/>
                <w:szCs w:val="22"/>
              </w:rPr>
              <w:t>Hawkhead</w:t>
            </w:r>
            <w:proofErr w:type="spellEnd"/>
          </w:p>
          <w:p w14:paraId="51BBE051" w14:textId="77777777" w:rsidR="00016081" w:rsidRPr="00016081" w:rsidRDefault="00016081" w:rsidP="00016081">
            <w:pPr>
              <w:rPr>
                <w:sz w:val="22"/>
                <w:szCs w:val="22"/>
              </w:rPr>
            </w:pPr>
          </w:p>
        </w:tc>
        <w:tc>
          <w:tcPr>
            <w:tcW w:w="4261" w:type="dxa"/>
            <w:vAlign w:val="center"/>
          </w:tcPr>
          <w:p w14:paraId="51BBE052" w14:textId="77777777" w:rsidR="00016081" w:rsidRPr="00016081" w:rsidRDefault="00016081" w:rsidP="00016081">
            <w:pPr>
              <w:rPr>
                <w:sz w:val="22"/>
                <w:szCs w:val="22"/>
              </w:rPr>
            </w:pPr>
            <w:r w:rsidRPr="00016081">
              <w:rPr>
                <w:sz w:val="22"/>
                <w:szCs w:val="22"/>
              </w:rPr>
              <w:t>Chief Executive of Action for Children</w:t>
            </w:r>
          </w:p>
          <w:p w14:paraId="51BBE053" w14:textId="77777777" w:rsidR="00016081" w:rsidRPr="00016081" w:rsidRDefault="00016081" w:rsidP="00016081">
            <w:pPr>
              <w:rPr>
                <w:sz w:val="22"/>
                <w:szCs w:val="22"/>
              </w:rPr>
            </w:pPr>
          </w:p>
        </w:tc>
      </w:tr>
      <w:tr w:rsidR="00016081" w:rsidRPr="00976E0F" w14:paraId="51BBE057" w14:textId="77777777" w:rsidTr="00016081">
        <w:tc>
          <w:tcPr>
            <w:tcW w:w="4261" w:type="dxa"/>
            <w:vAlign w:val="center"/>
          </w:tcPr>
          <w:p w14:paraId="51BBE055" w14:textId="77777777" w:rsidR="00016081" w:rsidRPr="00016081" w:rsidRDefault="00016081" w:rsidP="00016081">
            <w:pPr>
              <w:rPr>
                <w:sz w:val="22"/>
                <w:szCs w:val="22"/>
              </w:rPr>
            </w:pPr>
            <w:r w:rsidRPr="00016081">
              <w:rPr>
                <w:sz w:val="22"/>
                <w:szCs w:val="22"/>
              </w:rPr>
              <w:t xml:space="preserve">Stephen Gifford  </w:t>
            </w:r>
          </w:p>
        </w:tc>
        <w:tc>
          <w:tcPr>
            <w:tcW w:w="4261" w:type="dxa"/>
            <w:vAlign w:val="center"/>
          </w:tcPr>
          <w:p w14:paraId="51BBE056" w14:textId="77777777" w:rsidR="00016081" w:rsidRPr="00016081" w:rsidRDefault="00016081" w:rsidP="00016081">
            <w:pPr>
              <w:rPr>
                <w:sz w:val="22"/>
                <w:szCs w:val="22"/>
              </w:rPr>
            </w:pPr>
            <w:r w:rsidRPr="00016081">
              <w:rPr>
                <w:sz w:val="22"/>
                <w:szCs w:val="22"/>
              </w:rPr>
              <w:t>Independent economic expert</w:t>
            </w:r>
          </w:p>
        </w:tc>
      </w:tr>
      <w:tr w:rsidR="00016081" w:rsidRPr="00976E0F" w14:paraId="51BBE05B" w14:textId="77777777" w:rsidTr="00016081">
        <w:tc>
          <w:tcPr>
            <w:tcW w:w="4261" w:type="dxa"/>
            <w:vAlign w:val="center"/>
          </w:tcPr>
          <w:p w14:paraId="51BBE058" w14:textId="77777777" w:rsidR="00016081" w:rsidRPr="00016081" w:rsidRDefault="00016081" w:rsidP="00016081">
            <w:pPr>
              <w:rPr>
                <w:sz w:val="22"/>
                <w:szCs w:val="22"/>
                <w:u w:val="single"/>
              </w:rPr>
            </w:pPr>
            <w:proofErr w:type="spellStart"/>
            <w:r w:rsidRPr="00016081">
              <w:rPr>
                <w:sz w:val="22"/>
                <w:szCs w:val="22"/>
              </w:rPr>
              <w:t>Grainia</w:t>
            </w:r>
            <w:proofErr w:type="spellEnd"/>
            <w:r w:rsidRPr="00016081">
              <w:rPr>
                <w:sz w:val="22"/>
                <w:szCs w:val="22"/>
              </w:rPr>
              <w:t xml:space="preserve"> Long</w:t>
            </w:r>
          </w:p>
          <w:p w14:paraId="51BBE059" w14:textId="77777777" w:rsidR="00016081" w:rsidRPr="00016081" w:rsidRDefault="00016081" w:rsidP="00016081">
            <w:pPr>
              <w:rPr>
                <w:sz w:val="22"/>
                <w:szCs w:val="22"/>
              </w:rPr>
            </w:pPr>
          </w:p>
        </w:tc>
        <w:tc>
          <w:tcPr>
            <w:tcW w:w="4261" w:type="dxa"/>
            <w:vAlign w:val="center"/>
          </w:tcPr>
          <w:p w14:paraId="51BBE05A" w14:textId="77777777" w:rsidR="00016081" w:rsidRPr="00016081" w:rsidRDefault="00016081" w:rsidP="00016081">
            <w:pPr>
              <w:rPr>
                <w:sz w:val="22"/>
                <w:szCs w:val="22"/>
              </w:rPr>
            </w:pPr>
            <w:r w:rsidRPr="00016081">
              <w:rPr>
                <w:sz w:val="22"/>
                <w:szCs w:val="22"/>
              </w:rPr>
              <w:t>Chief Executive of the Chartered Institute of Housing</w:t>
            </w:r>
          </w:p>
        </w:tc>
      </w:tr>
      <w:tr w:rsidR="00016081" w:rsidRPr="00976E0F" w14:paraId="51BBE05F" w14:textId="77777777" w:rsidTr="00016081">
        <w:tc>
          <w:tcPr>
            <w:tcW w:w="4261" w:type="dxa"/>
            <w:vAlign w:val="center"/>
          </w:tcPr>
          <w:p w14:paraId="51BBE05C" w14:textId="77777777" w:rsidR="00016081" w:rsidRPr="00016081" w:rsidRDefault="00016081" w:rsidP="00016081">
            <w:pPr>
              <w:rPr>
                <w:color w:val="000000"/>
                <w:sz w:val="22"/>
                <w:szCs w:val="22"/>
              </w:rPr>
            </w:pPr>
            <w:r w:rsidRPr="00016081">
              <w:rPr>
                <w:color w:val="000000"/>
                <w:sz w:val="22"/>
                <w:szCs w:val="22"/>
              </w:rPr>
              <w:t xml:space="preserve">Professor Henry </w:t>
            </w:r>
            <w:proofErr w:type="spellStart"/>
            <w:r w:rsidRPr="00016081">
              <w:rPr>
                <w:color w:val="000000"/>
                <w:sz w:val="22"/>
                <w:szCs w:val="22"/>
              </w:rPr>
              <w:t>Overman</w:t>
            </w:r>
            <w:proofErr w:type="spellEnd"/>
          </w:p>
          <w:p w14:paraId="51BBE05D" w14:textId="77777777" w:rsidR="00016081" w:rsidRPr="00016081" w:rsidRDefault="00016081" w:rsidP="00016081">
            <w:pPr>
              <w:rPr>
                <w:sz w:val="22"/>
                <w:szCs w:val="22"/>
              </w:rPr>
            </w:pPr>
          </w:p>
        </w:tc>
        <w:tc>
          <w:tcPr>
            <w:tcW w:w="4261" w:type="dxa"/>
            <w:vAlign w:val="center"/>
          </w:tcPr>
          <w:p w14:paraId="51BBE05E" w14:textId="77777777" w:rsidR="00016081" w:rsidRPr="00016081" w:rsidRDefault="00016081" w:rsidP="00016081">
            <w:pPr>
              <w:rPr>
                <w:sz w:val="22"/>
                <w:szCs w:val="22"/>
              </w:rPr>
            </w:pPr>
            <w:r w:rsidRPr="00016081">
              <w:rPr>
                <w:sz w:val="22"/>
                <w:szCs w:val="22"/>
              </w:rPr>
              <w:t>Professor of Economic Geography of London School of Economics (LSE)</w:t>
            </w:r>
          </w:p>
        </w:tc>
      </w:tr>
      <w:tr w:rsidR="00016081" w:rsidRPr="00976E0F" w14:paraId="51BBE062" w14:textId="77777777" w:rsidTr="00016081">
        <w:tc>
          <w:tcPr>
            <w:tcW w:w="4261" w:type="dxa"/>
            <w:vAlign w:val="center"/>
          </w:tcPr>
          <w:p w14:paraId="51BBE060" w14:textId="77777777" w:rsidR="00016081" w:rsidRPr="00016081" w:rsidRDefault="00016081" w:rsidP="00016081">
            <w:pPr>
              <w:rPr>
                <w:sz w:val="22"/>
                <w:szCs w:val="22"/>
              </w:rPr>
            </w:pPr>
            <w:r w:rsidRPr="00016081">
              <w:rPr>
                <w:color w:val="000000"/>
                <w:sz w:val="22"/>
                <w:szCs w:val="22"/>
              </w:rPr>
              <w:t>Jane Ramsey</w:t>
            </w:r>
          </w:p>
        </w:tc>
        <w:tc>
          <w:tcPr>
            <w:tcW w:w="4261" w:type="dxa"/>
            <w:vAlign w:val="center"/>
          </w:tcPr>
          <w:p w14:paraId="51BBE061" w14:textId="77777777" w:rsidR="00016081" w:rsidRPr="00016081" w:rsidRDefault="00016081" w:rsidP="00016081">
            <w:pPr>
              <w:rPr>
                <w:sz w:val="22"/>
                <w:szCs w:val="22"/>
              </w:rPr>
            </w:pPr>
            <w:r w:rsidRPr="00016081">
              <w:rPr>
                <w:sz w:val="22"/>
                <w:szCs w:val="22"/>
              </w:rPr>
              <w:t xml:space="preserve">Chair of Cambridge University Hospitals NHS Foundation Trust </w:t>
            </w:r>
          </w:p>
        </w:tc>
      </w:tr>
      <w:tr w:rsidR="00016081" w:rsidRPr="00976E0F" w14:paraId="51BBE066" w14:textId="77777777" w:rsidTr="00016081">
        <w:tc>
          <w:tcPr>
            <w:tcW w:w="4261" w:type="dxa"/>
            <w:vAlign w:val="center"/>
          </w:tcPr>
          <w:p w14:paraId="51BBE063" w14:textId="77777777" w:rsidR="00016081" w:rsidRPr="00016081" w:rsidRDefault="00016081" w:rsidP="00016081">
            <w:pPr>
              <w:rPr>
                <w:color w:val="000000"/>
                <w:sz w:val="22"/>
                <w:szCs w:val="22"/>
                <w:highlight w:val="yellow"/>
              </w:rPr>
            </w:pPr>
            <w:r w:rsidRPr="00016081">
              <w:rPr>
                <w:color w:val="000000"/>
                <w:sz w:val="22"/>
                <w:szCs w:val="22"/>
              </w:rPr>
              <w:t xml:space="preserve">Lord </w:t>
            </w:r>
            <w:proofErr w:type="spellStart"/>
            <w:r w:rsidRPr="00016081">
              <w:rPr>
                <w:color w:val="000000"/>
                <w:sz w:val="22"/>
                <w:szCs w:val="22"/>
              </w:rPr>
              <w:t>Teverson</w:t>
            </w:r>
            <w:proofErr w:type="spellEnd"/>
          </w:p>
          <w:p w14:paraId="51BBE064" w14:textId="77777777" w:rsidR="00016081" w:rsidRPr="00016081" w:rsidRDefault="00016081" w:rsidP="00016081">
            <w:pPr>
              <w:rPr>
                <w:sz w:val="22"/>
                <w:szCs w:val="22"/>
              </w:rPr>
            </w:pPr>
          </w:p>
        </w:tc>
        <w:tc>
          <w:tcPr>
            <w:tcW w:w="4261" w:type="dxa"/>
            <w:vAlign w:val="center"/>
          </w:tcPr>
          <w:p w14:paraId="51BBE065" w14:textId="77777777" w:rsidR="00016081" w:rsidRPr="00016081" w:rsidRDefault="00C917F4" w:rsidP="00016081">
            <w:pPr>
              <w:rPr>
                <w:sz w:val="22"/>
                <w:szCs w:val="22"/>
              </w:rPr>
            </w:pPr>
            <w:r>
              <w:rPr>
                <w:sz w:val="22"/>
                <w:szCs w:val="22"/>
              </w:rPr>
              <w:t xml:space="preserve">Chairman of the Rural Alliance; </w:t>
            </w:r>
            <w:r w:rsidR="00016081" w:rsidRPr="00016081">
              <w:rPr>
                <w:sz w:val="22"/>
                <w:szCs w:val="22"/>
              </w:rPr>
              <w:t>Liberal Democrat Spokesman for Energy and Climate Change in the House of Lords</w:t>
            </w:r>
          </w:p>
        </w:tc>
      </w:tr>
    </w:tbl>
    <w:p w14:paraId="51BBE067" w14:textId="77777777" w:rsidR="00016081" w:rsidRDefault="00016081">
      <w:pPr>
        <w:rPr>
          <w:b/>
          <w:sz w:val="22"/>
          <w:szCs w:val="22"/>
        </w:rPr>
      </w:pPr>
    </w:p>
    <w:p w14:paraId="51BBE068" w14:textId="77777777" w:rsidR="00016081" w:rsidRDefault="00016081">
      <w:pPr>
        <w:rPr>
          <w:b/>
          <w:sz w:val="22"/>
          <w:szCs w:val="22"/>
        </w:rPr>
      </w:pPr>
      <w:r>
        <w:rPr>
          <w:b/>
          <w:sz w:val="22"/>
          <w:szCs w:val="22"/>
        </w:rPr>
        <w:t xml:space="preserve">First </w:t>
      </w:r>
      <w:r w:rsidR="00A97178">
        <w:rPr>
          <w:b/>
          <w:sz w:val="22"/>
          <w:szCs w:val="22"/>
        </w:rPr>
        <w:t xml:space="preserve">Non-Metropolitan </w:t>
      </w:r>
      <w:r>
        <w:rPr>
          <w:b/>
          <w:sz w:val="22"/>
          <w:szCs w:val="22"/>
        </w:rPr>
        <w:t>Commission Meeting</w:t>
      </w:r>
    </w:p>
    <w:p w14:paraId="51BBE069" w14:textId="77777777" w:rsidR="00016081" w:rsidRDefault="00016081">
      <w:pPr>
        <w:rPr>
          <w:b/>
          <w:sz w:val="22"/>
          <w:szCs w:val="22"/>
        </w:rPr>
      </w:pPr>
    </w:p>
    <w:p w14:paraId="51BBE06A" w14:textId="77777777" w:rsidR="00F23E76" w:rsidRDefault="00016081" w:rsidP="004F01AC">
      <w:pPr>
        <w:pStyle w:val="ListParagraph"/>
        <w:numPr>
          <w:ilvl w:val="0"/>
          <w:numId w:val="5"/>
        </w:numPr>
        <w:ind w:left="426" w:hanging="426"/>
        <w:rPr>
          <w:sz w:val="22"/>
          <w:szCs w:val="22"/>
        </w:rPr>
      </w:pPr>
      <w:r>
        <w:rPr>
          <w:sz w:val="22"/>
          <w:szCs w:val="22"/>
        </w:rPr>
        <w:t xml:space="preserve">The first Commission meeting was on the 28 April 2014. </w:t>
      </w:r>
      <w:r w:rsidR="00F23E76">
        <w:rPr>
          <w:sz w:val="22"/>
          <w:szCs w:val="22"/>
        </w:rPr>
        <w:t>Commissioners reviewed</w:t>
      </w:r>
      <w:r w:rsidR="00C917F4">
        <w:rPr>
          <w:sz w:val="22"/>
          <w:szCs w:val="22"/>
        </w:rPr>
        <w:t xml:space="preserve"> and </w:t>
      </w:r>
      <w:r w:rsidR="000D7964">
        <w:rPr>
          <w:sz w:val="22"/>
          <w:szCs w:val="22"/>
        </w:rPr>
        <w:t>finalised the</w:t>
      </w:r>
      <w:r w:rsidR="00F23E76">
        <w:rPr>
          <w:sz w:val="22"/>
          <w:szCs w:val="22"/>
        </w:rPr>
        <w:t xml:space="preserve"> Terms of Reference (</w:t>
      </w:r>
      <w:proofErr w:type="spellStart"/>
      <w:r w:rsidR="00F23E76">
        <w:rPr>
          <w:sz w:val="22"/>
          <w:szCs w:val="22"/>
        </w:rPr>
        <w:t>ToR</w:t>
      </w:r>
      <w:proofErr w:type="spellEnd"/>
      <w:r w:rsidR="00F23E76">
        <w:rPr>
          <w:sz w:val="22"/>
          <w:szCs w:val="22"/>
        </w:rPr>
        <w:t>) a</w:t>
      </w:r>
      <w:r w:rsidR="00C917F4">
        <w:rPr>
          <w:sz w:val="22"/>
          <w:szCs w:val="22"/>
        </w:rPr>
        <w:t xml:space="preserve">nd the </w:t>
      </w:r>
      <w:r w:rsidR="000920A9">
        <w:rPr>
          <w:sz w:val="22"/>
          <w:szCs w:val="22"/>
        </w:rPr>
        <w:t>Call for Evidence (attached as</w:t>
      </w:r>
      <w:r w:rsidR="00C917F4">
        <w:rPr>
          <w:sz w:val="22"/>
          <w:szCs w:val="22"/>
        </w:rPr>
        <w:t xml:space="preserve"> </w:t>
      </w:r>
      <w:r w:rsidR="00C917F4" w:rsidRPr="004F01AC">
        <w:rPr>
          <w:b/>
          <w:sz w:val="22"/>
          <w:szCs w:val="22"/>
        </w:rPr>
        <w:t>Annex A</w:t>
      </w:r>
      <w:r w:rsidR="00C917F4">
        <w:rPr>
          <w:sz w:val="22"/>
          <w:szCs w:val="22"/>
        </w:rPr>
        <w:t>).</w:t>
      </w:r>
    </w:p>
    <w:p w14:paraId="51BBE06B" w14:textId="77777777" w:rsidR="00F23E76" w:rsidRDefault="00F23E76" w:rsidP="004F01AC">
      <w:pPr>
        <w:pStyle w:val="ListParagraph"/>
        <w:ind w:left="426"/>
        <w:rPr>
          <w:sz w:val="22"/>
          <w:szCs w:val="22"/>
        </w:rPr>
      </w:pPr>
    </w:p>
    <w:p w14:paraId="51BBE06C" w14:textId="77777777" w:rsidR="00F23E76" w:rsidRDefault="00016081" w:rsidP="004F01AC">
      <w:pPr>
        <w:pStyle w:val="ListParagraph"/>
        <w:numPr>
          <w:ilvl w:val="0"/>
          <w:numId w:val="5"/>
        </w:numPr>
        <w:ind w:left="426" w:hanging="426"/>
        <w:rPr>
          <w:sz w:val="22"/>
          <w:szCs w:val="22"/>
        </w:rPr>
      </w:pPr>
      <w:r>
        <w:rPr>
          <w:sz w:val="22"/>
          <w:szCs w:val="22"/>
        </w:rPr>
        <w:t>Commissioners</w:t>
      </w:r>
      <w:r w:rsidR="00F23E76">
        <w:rPr>
          <w:sz w:val="22"/>
          <w:szCs w:val="22"/>
        </w:rPr>
        <w:t xml:space="preserve"> also took</w:t>
      </w:r>
      <w:r>
        <w:rPr>
          <w:sz w:val="22"/>
          <w:szCs w:val="22"/>
        </w:rPr>
        <w:t xml:space="preserve"> evidence from key witnesses</w:t>
      </w:r>
      <w:r w:rsidR="00F23E76">
        <w:rPr>
          <w:sz w:val="22"/>
          <w:szCs w:val="22"/>
        </w:rPr>
        <w:t xml:space="preserve">, enabling them to </w:t>
      </w:r>
      <w:r w:rsidR="00A97178">
        <w:rPr>
          <w:sz w:val="22"/>
          <w:szCs w:val="22"/>
        </w:rPr>
        <w:t xml:space="preserve">hear about </w:t>
      </w:r>
      <w:r w:rsidR="00F23E76">
        <w:rPr>
          <w:sz w:val="22"/>
          <w:szCs w:val="22"/>
        </w:rPr>
        <w:t xml:space="preserve">the </w:t>
      </w:r>
      <w:r w:rsidR="00A97178">
        <w:rPr>
          <w:sz w:val="22"/>
          <w:szCs w:val="22"/>
        </w:rPr>
        <w:t xml:space="preserve">most important </w:t>
      </w:r>
      <w:r w:rsidR="00F23E76">
        <w:rPr>
          <w:sz w:val="22"/>
          <w:szCs w:val="22"/>
        </w:rPr>
        <w:t xml:space="preserve">issues faced at a local level </w:t>
      </w:r>
      <w:r w:rsidR="00A97178">
        <w:rPr>
          <w:sz w:val="22"/>
          <w:szCs w:val="22"/>
        </w:rPr>
        <w:t xml:space="preserve">regarding </w:t>
      </w:r>
      <w:r w:rsidR="00F23E76">
        <w:rPr>
          <w:sz w:val="22"/>
          <w:szCs w:val="22"/>
        </w:rPr>
        <w:t>economic growth in non-metropolitan areas. Three witnesses gave evidence:</w:t>
      </w:r>
    </w:p>
    <w:p w14:paraId="51BBE06D" w14:textId="77777777" w:rsidR="00F23E76" w:rsidRDefault="00F23E76">
      <w:pPr>
        <w:rPr>
          <w:sz w:val="22"/>
          <w:szCs w:val="22"/>
        </w:rPr>
      </w:pPr>
    </w:p>
    <w:p w14:paraId="51BBE06E" w14:textId="77777777" w:rsidR="00016081" w:rsidRPr="004F01AC" w:rsidRDefault="00F23E76" w:rsidP="004F01AC">
      <w:pPr>
        <w:pStyle w:val="ListParagraph"/>
        <w:numPr>
          <w:ilvl w:val="0"/>
          <w:numId w:val="6"/>
        </w:numPr>
        <w:ind w:hanging="714"/>
        <w:rPr>
          <w:sz w:val="22"/>
          <w:szCs w:val="22"/>
        </w:rPr>
      </w:pPr>
      <w:r w:rsidRPr="004F01AC">
        <w:rPr>
          <w:sz w:val="22"/>
          <w:szCs w:val="22"/>
        </w:rPr>
        <w:t>Lancashire: Cllr Jenny Mein, Leader of Lancashire Council</w:t>
      </w:r>
    </w:p>
    <w:p w14:paraId="51BBE06F" w14:textId="77777777" w:rsidR="00F23E76" w:rsidRPr="004F01AC" w:rsidRDefault="00F23E76" w:rsidP="004F01AC">
      <w:pPr>
        <w:pStyle w:val="ListParagraph"/>
        <w:numPr>
          <w:ilvl w:val="0"/>
          <w:numId w:val="6"/>
        </w:numPr>
        <w:ind w:hanging="714"/>
        <w:rPr>
          <w:sz w:val="22"/>
          <w:szCs w:val="22"/>
        </w:rPr>
      </w:pPr>
      <w:r w:rsidRPr="004F01AC">
        <w:rPr>
          <w:sz w:val="22"/>
          <w:szCs w:val="22"/>
        </w:rPr>
        <w:t>Hinckley and Bosworth: Steve Atkinson, Chief Executive of Hinckley and Bosworth Council</w:t>
      </w:r>
    </w:p>
    <w:p w14:paraId="51BBE070" w14:textId="77777777" w:rsidR="00F23E76" w:rsidRPr="004F01AC" w:rsidRDefault="00F23E76" w:rsidP="004F01AC">
      <w:pPr>
        <w:pStyle w:val="ListParagraph"/>
        <w:numPr>
          <w:ilvl w:val="0"/>
          <w:numId w:val="6"/>
        </w:numPr>
        <w:ind w:hanging="714"/>
        <w:rPr>
          <w:sz w:val="22"/>
          <w:szCs w:val="22"/>
        </w:rPr>
      </w:pPr>
      <w:r w:rsidRPr="004F01AC">
        <w:rPr>
          <w:sz w:val="22"/>
          <w:szCs w:val="22"/>
        </w:rPr>
        <w:t>Cambridgeshire: Graham Hughes, Executive Director for Economy, Transport and Environment</w:t>
      </w:r>
    </w:p>
    <w:p w14:paraId="51BBE071" w14:textId="77777777" w:rsidR="00F23E76" w:rsidRDefault="00F23E76" w:rsidP="00F23E76">
      <w:pPr>
        <w:rPr>
          <w:sz w:val="22"/>
          <w:szCs w:val="22"/>
        </w:rPr>
      </w:pPr>
    </w:p>
    <w:p w14:paraId="51BBE072" w14:textId="77777777" w:rsidR="000D7964" w:rsidRDefault="000D7964" w:rsidP="004F01AC">
      <w:pPr>
        <w:pStyle w:val="ListParagraph"/>
        <w:numPr>
          <w:ilvl w:val="0"/>
          <w:numId w:val="5"/>
        </w:numPr>
        <w:ind w:left="426" w:hanging="426"/>
        <w:rPr>
          <w:sz w:val="22"/>
          <w:szCs w:val="22"/>
        </w:rPr>
      </w:pPr>
      <w:r>
        <w:rPr>
          <w:sz w:val="22"/>
          <w:szCs w:val="22"/>
        </w:rPr>
        <w:t xml:space="preserve">The evidence provided highlighted some of the key issues that helped to stimulate growth, including a strong focus on effective partnership working and collaboration. Barriers to growth were also acknowledge, which included access to high speed broadband, the development of effective infrastructure, educational attainment and funding.  </w:t>
      </w:r>
    </w:p>
    <w:p w14:paraId="51BBE073" w14:textId="77777777" w:rsidR="000D7964" w:rsidRDefault="000D7964" w:rsidP="004F01AC">
      <w:pPr>
        <w:pStyle w:val="ListParagraph"/>
        <w:ind w:left="426"/>
        <w:rPr>
          <w:sz w:val="22"/>
          <w:szCs w:val="22"/>
        </w:rPr>
      </w:pPr>
    </w:p>
    <w:p w14:paraId="51BBE074" w14:textId="77777777" w:rsidR="000D7964" w:rsidRDefault="000D7964" w:rsidP="004F01AC">
      <w:pPr>
        <w:pStyle w:val="ListParagraph"/>
        <w:numPr>
          <w:ilvl w:val="0"/>
          <w:numId w:val="5"/>
        </w:numPr>
        <w:ind w:left="426" w:hanging="426"/>
        <w:rPr>
          <w:sz w:val="22"/>
          <w:szCs w:val="22"/>
        </w:rPr>
      </w:pPr>
      <w:r>
        <w:rPr>
          <w:sz w:val="22"/>
          <w:szCs w:val="22"/>
        </w:rPr>
        <w:t xml:space="preserve">Commissioners consider the witness statements to be highly insightful; they noted that the evidence highlighted the importance of recognising the cost to the public purse imposed by bidding process for funding, and agreed to explore this in the Commission’s work. </w:t>
      </w:r>
    </w:p>
    <w:p w14:paraId="51BBE075" w14:textId="77777777" w:rsidR="000D7964" w:rsidRDefault="000D7964" w:rsidP="004F01AC">
      <w:pPr>
        <w:pStyle w:val="ListParagraph"/>
        <w:ind w:left="426"/>
        <w:rPr>
          <w:sz w:val="22"/>
          <w:szCs w:val="22"/>
        </w:rPr>
      </w:pPr>
    </w:p>
    <w:p w14:paraId="51BBE076" w14:textId="77777777" w:rsidR="000D7964" w:rsidRDefault="000D7964" w:rsidP="004F01AC">
      <w:pPr>
        <w:pStyle w:val="ListParagraph"/>
        <w:numPr>
          <w:ilvl w:val="0"/>
          <w:numId w:val="5"/>
        </w:numPr>
        <w:ind w:left="426" w:hanging="426"/>
        <w:rPr>
          <w:sz w:val="22"/>
          <w:szCs w:val="22"/>
        </w:rPr>
      </w:pPr>
      <w:r>
        <w:rPr>
          <w:sz w:val="22"/>
          <w:szCs w:val="22"/>
        </w:rPr>
        <w:t xml:space="preserve">The evidence provided helped Commissioners to shape the </w:t>
      </w:r>
      <w:proofErr w:type="spellStart"/>
      <w:r>
        <w:rPr>
          <w:sz w:val="22"/>
          <w:szCs w:val="22"/>
        </w:rPr>
        <w:t>ToR</w:t>
      </w:r>
      <w:proofErr w:type="spellEnd"/>
      <w:r>
        <w:rPr>
          <w:sz w:val="22"/>
          <w:szCs w:val="22"/>
        </w:rPr>
        <w:t xml:space="preserve"> and the Call for Evidence so that the most important issues in non-metropolitan areas are examined. </w:t>
      </w:r>
    </w:p>
    <w:p w14:paraId="51BBE077" w14:textId="77777777" w:rsidR="00F23E76" w:rsidRDefault="00F23E76" w:rsidP="00F23E76">
      <w:pPr>
        <w:rPr>
          <w:sz w:val="22"/>
          <w:szCs w:val="22"/>
        </w:rPr>
      </w:pPr>
    </w:p>
    <w:p w14:paraId="51BBE078" w14:textId="77777777" w:rsidR="00F23E76" w:rsidRPr="00F23E76" w:rsidRDefault="00F23E76" w:rsidP="00F23E76">
      <w:pPr>
        <w:rPr>
          <w:b/>
          <w:sz w:val="22"/>
          <w:szCs w:val="22"/>
        </w:rPr>
      </w:pPr>
      <w:r>
        <w:rPr>
          <w:b/>
          <w:sz w:val="22"/>
          <w:szCs w:val="22"/>
        </w:rPr>
        <w:t xml:space="preserve">Formal launch of the </w:t>
      </w:r>
      <w:r w:rsidR="00630657">
        <w:rPr>
          <w:b/>
          <w:sz w:val="22"/>
          <w:szCs w:val="22"/>
        </w:rPr>
        <w:t xml:space="preserve">Non-Metropolitan </w:t>
      </w:r>
      <w:r>
        <w:rPr>
          <w:b/>
          <w:sz w:val="22"/>
          <w:szCs w:val="22"/>
        </w:rPr>
        <w:t>Commission</w:t>
      </w:r>
    </w:p>
    <w:p w14:paraId="51BBE079" w14:textId="77777777" w:rsidR="00F23E76" w:rsidRDefault="00F23E76" w:rsidP="00F23E76">
      <w:pPr>
        <w:rPr>
          <w:sz w:val="22"/>
          <w:szCs w:val="22"/>
        </w:rPr>
      </w:pPr>
    </w:p>
    <w:p w14:paraId="51BBE07A" w14:textId="77777777" w:rsidR="003E5FD8" w:rsidRDefault="00F23E76" w:rsidP="004F01AC">
      <w:pPr>
        <w:pStyle w:val="ListParagraph"/>
        <w:numPr>
          <w:ilvl w:val="0"/>
          <w:numId w:val="5"/>
        </w:numPr>
        <w:ind w:left="426" w:hanging="426"/>
        <w:rPr>
          <w:sz w:val="22"/>
          <w:szCs w:val="22"/>
        </w:rPr>
      </w:pPr>
      <w:r>
        <w:rPr>
          <w:sz w:val="22"/>
          <w:szCs w:val="22"/>
        </w:rPr>
        <w:t>The Commission was formally launched on the 27</w:t>
      </w:r>
      <w:r w:rsidR="003E5FD8">
        <w:rPr>
          <w:sz w:val="22"/>
          <w:szCs w:val="22"/>
        </w:rPr>
        <w:t xml:space="preserve"> May 2014; a press release was issued on the LGA website (</w:t>
      </w:r>
      <w:r w:rsidR="000920A9">
        <w:rPr>
          <w:sz w:val="22"/>
          <w:szCs w:val="22"/>
        </w:rPr>
        <w:t xml:space="preserve">attached as </w:t>
      </w:r>
      <w:r w:rsidR="000920A9">
        <w:rPr>
          <w:b/>
          <w:sz w:val="22"/>
          <w:szCs w:val="22"/>
        </w:rPr>
        <w:t>A</w:t>
      </w:r>
      <w:r w:rsidR="003E5FD8" w:rsidRPr="000920A9">
        <w:rPr>
          <w:b/>
          <w:sz w:val="22"/>
          <w:szCs w:val="22"/>
        </w:rPr>
        <w:t>nnex</w:t>
      </w:r>
      <w:r w:rsidR="000920A9" w:rsidRPr="000920A9">
        <w:rPr>
          <w:b/>
          <w:sz w:val="22"/>
          <w:szCs w:val="22"/>
        </w:rPr>
        <w:t xml:space="preserve"> B</w:t>
      </w:r>
      <w:r w:rsidR="003E5FD8">
        <w:rPr>
          <w:sz w:val="22"/>
          <w:szCs w:val="22"/>
        </w:rPr>
        <w:t xml:space="preserve">). </w:t>
      </w:r>
    </w:p>
    <w:p w14:paraId="51BBE07B" w14:textId="77777777" w:rsidR="003E5FD8" w:rsidRDefault="003E5FD8" w:rsidP="004F01AC">
      <w:pPr>
        <w:pStyle w:val="ListParagraph"/>
        <w:ind w:left="426"/>
        <w:rPr>
          <w:sz w:val="22"/>
          <w:szCs w:val="22"/>
        </w:rPr>
      </w:pPr>
    </w:p>
    <w:p w14:paraId="51BBE07C" w14:textId="77777777" w:rsidR="00C917F4" w:rsidRDefault="003E5FD8" w:rsidP="004F01AC">
      <w:pPr>
        <w:pStyle w:val="ListParagraph"/>
        <w:numPr>
          <w:ilvl w:val="0"/>
          <w:numId w:val="5"/>
        </w:numPr>
        <w:ind w:left="426" w:hanging="426"/>
        <w:rPr>
          <w:sz w:val="22"/>
          <w:szCs w:val="22"/>
        </w:rPr>
      </w:pPr>
      <w:r>
        <w:rPr>
          <w:sz w:val="22"/>
          <w:szCs w:val="22"/>
        </w:rPr>
        <w:t>T</w:t>
      </w:r>
      <w:r w:rsidR="00630657">
        <w:rPr>
          <w:sz w:val="22"/>
          <w:szCs w:val="22"/>
        </w:rPr>
        <w:t>he lau</w:t>
      </w:r>
      <w:r w:rsidR="00A97178">
        <w:rPr>
          <w:sz w:val="22"/>
          <w:szCs w:val="22"/>
        </w:rPr>
        <w:t xml:space="preserve">nch of the Commission received press coverage </w:t>
      </w:r>
      <w:r w:rsidR="00630657">
        <w:rPr>
          <w:sz w:val="22"/>
          <w:szCs w:val="22"/>
        </w:rPr>
        <w:t>in both the Municipal Journal (MJ) and the Local Government Chronicle (LGC).</w:t>
      </w:r>
      <w:r w:rsidR="00C917F4">
        <w:rPr>
          <w:sz w:val="22"/>
          <w:szCs w:val="22"/>
        </w:rPr>
        <w:t xml:space="preserve"> We anticipate national press coverage with the publication of interim and final reports.</w:t>
      </w:r>
    </w:p>
    <w:p w14:paraId="51BBE07D" w14:textId="77777777" w:rsidR="00C917F4" w:rsidRDefault="00C917F4" w:rsidP="004F01AC">
      <w:pPr>
        <w:pStyle w:val="ListParagraph"/>
        <w:ind w:left="426"/>
        <w:rPr>
          <w:sz w:val="22"/>
          <w:szCs w:val="22"/>
        </w:rPr>
      </w:pPr>
    </w:p>
    <w:p w14:paraId="51BBE07E" w14:textId="77777777" w:rsidR="00C917F4" w:rsidRDefault="00C917F4" w:rsidP="004F01AC">
      <w:pPr>
        <w:pStyle w:val="ListParagraph"/>
        <w:numPr>
          <w:ilvl w:val="0"/>
          <w:numId w:val="5"/>
        </w:numPr>
        <w:ind w:left="426" w:hanging="426"/>
        <w:rPr>
          <w:sz w:val="22"/>
          <w:szCs w:val="22"/>
        </w:rPr>
      </w:pPr>
      <w:r>
        <w:rPr>
          <w:sz w:val="22"/>
          <w:szCs w:val="22"/>
        </w:rPr>
        <w:t xml:space="preserve">The District Councils Network (DCN) and the County Councils Network (CCN) were both involved in the launch of the Commission, and are working to promote the Commission’s Call for Evidence among their members. </w:t>
      </w:r>
    </w:p>
    <w:p w14:paraId="51BBE07F" w14:textId="77777777" w:rsidR="00630657" w:rsidRPr="004F01AC" w:rsidRDefault="00630657" w:rsidP="004F01AC">
      <w:pPr>
        <w:rPr>
          <w:sz w:val="22"/>
          <w:szCs w:val="22"/>
        </w:rPr>
      </w:pPr>
    </w:p>
    <w:p w14:paraId="51BBE080" w14:textId="77777777" w:rsidR="00630657" w:rsidRPr="004F01AC" w:rsidRDefault="00630657" w:rsidP="004F01AC">
      <w:pPr>
        <w:rPr>
          <w:b/>
          <w:sz w:val="22"/>
          <w:szCs w:val="22"/>
        </w:rPr>
      </w:pPr>
      <w:r w:rsidRPr="004F01AC">
        <w:rPr>
          <w:b/>
          <w:sz w:val="22"/>
          <w:szCs w:val="22"/>
        </w:rPr>
        <w:t xml:space="preserve">Communications from the </w:t>
      </w:r>
      <w:r w:rsidR="003E5FD8" w:rsidRPr="004F01AC">
        <w:rPr>
          <w:b/>
          <w:sz w:val="22"/>
          <w:szCs w:val="22"/>
        </w:rPr>
        <w:t xml:space="preserve">Non-Metropolitan </w:t>
      </w:r>
      <w:r w:rsidRPr="004F01AC">
        <w:rPr>
          <w:b/>
          <w:sz w:val="22"/>
          <w:szCs w:val="22"/>
        </w:rPr>
        <w:t>Commission</w:t>
      </w:r>
    </w:p>
    <w:p w14:paraId="51BBE081" w14:textId="77777777" w:rsidR="00630657" w:rsidRPr="004F01AC" w:rsidRDefault="00630657" w:rsidP="004F01AC">
      <w:pPr>
        <w:pStyle w:val="ListParagraph"/>
        <w:ind w:left="426"/>
        <w:rPr>
          <w:sz w:val="22"/>
          <w:szCs w:val="22"/>
        </w:rPr>
      </w:pPr>
    </w:p>
    <w:p w14:paraId="51BBE082" w14:textId="77777777" w:rsidR="00B80631" w:rsidRDefault="003E5FD8" w:rsidP="004F01AC">
      <w:pPr>
        <w:pStyle w:val="ListParagraph"/>
        <w:numPr>
          <w:ilvl w:val="0"/>
          <w:numId w:val="5"/>
        </w:numPr>
        <w:ind w:left="426" w:hanging="426"/>
        <w:rPr>
          <w:sz w:val="22"/>
          <w:szCs w:val="22"/>
        </w:rPr>
      </w:pPr>
      <w:r>
        <w:rPr>
          <w:sz w:val="22"/>
          <w:szCs w:val="22"/>
        </w:rPr>
        <w:t>A media strategy has been developed for the Commission</w:t>
      </w:r>
      <w:r w:rsidR="00A97178">
        <w:rPr>
          <w:sz w:val="22"/>
          <w:szCs w:val="22"/>
        </w:rPr>
        <w:t xml:space="preserve"> </w:t>
      </w:r>
      <w:r w:rsidR="00B80631">
        <w:rPr>
          <w:sz w:val="22"/>
          <w:szCs w:val="22"/>
        </w:rPr>
        <w:t xml:space="preserve">and aims to provide a strategic communications plan over the life course of the Commission. </w:t>
      </w:r>
    </w:p>
    <w:p w14:paraId="51BBE083" w14:textId="77777777" w:rsidR="00B80631" w:rsidRDefault="00B80631" w:rsidP="004F01AC">
      <w:pPr>
        <w:pStyle w:val="ListParagraph"/>
        <w:ind w:left="426"/>
        <w:rPr>
          <w:sz w:val="22"/>
          <w:szCs w:val="22"/>
        </w:rPr>
      </w:pPr>
    </w:p>
    <w:p w14:paraId="51BBE084" w14:textId="77777777" w:rsidR="00630657" w:rsidRDefault="00B80631" w:rsidP="004F01AC">
      <w:pPr>
        <w:pStyle w:val="ListParagraph"/>
        <w:numPr>
          <w:ilvl w:val="0"/>
          <w:numId w:val="5"/>
        </w:numPr>
        <w:ind w:left="426" w:hanging="426"/>
        <w:rPr>
          <w:sz w:val="22"/>
          <w:szCs w:val="22"/>
        </w:rPr>
      </w:pPr>
      <w:r>
        <w:rPr>
          <w:sz w:val="22"/>
          <w:szCs w:val="22"/>
        </w:rPr>
        <w:t>T</w:t>
      </w:r>
      <w:r w:rsidR="003E5FD8">
        <w:rPr>
          <w:sz w:val="22"/>
          <w:szCs w:val="22"/>
        </w:rPr>
        <w:t>he Commission’s w</w:t>
      </w:r>
      <w:r w:rsidR="00A97178">
        <w:rPr>
          <w:sz w:val="22"/>
          <w:szCs w:val="22"/>
        </w:rPr>
        <w:t>ebpage will contain updates on all the Commission’s</w:t>
      </w:r>
      <w:r w:rsidR="003E5FD8">
        <w:rPr>
          <w:sz w:val="22"/>
          <w:szCs w:val="22"/>
        </w:rPr>
        <w:t xml:space="preserve"> activities:</w:t>
      </w:r>
    </w:p>
    <w:p w14:paraId="51BBE085" w14:textId="77777777" w:rsidR="003E5FD8" w:rsidRDefault="003E5FD8" w:rsidP="00F23E76">
      <w:pPr>
        <w:rPr>
          <w:sz w:val="22"/>
          <w:szCs w:val="22"/>
        </w:rPr>
      </w:pPr>
    </w:p>
    <w:p w14:paraId="51BBE086" w14:textId="77777777" w:rsidR="003E5FD8" w:rsidRDefault="00A44CE5" w:rsidP="004F01AC">
      <w:pPr>
        <w:ind w:firstLine="426"/>
        <w:rPr>
          <w:sz w:val="22"/>
          <w:szCs w:val="22"/>
        </w:rPr>
      </w:pPr>
      <w:hyperlink r:id="rId9" w:history="1">
        <w:r w:rsidR="003E5FD8" w:rsidRPr="00B2753B">
          <w:rPr>
            <w:rStyle w:val="Hyperlink"/>
            <w:sz w:val="22"/>
            <w:szCs w:val="22"/>
          </w:rPr>
          <w:t>http://www.local.gov.uk/non-met-commission</w:t>
        </w:r>
      </w:hyperlink>
    </w:p>
    <w:p w14:paraId="51BBE087" w14:textId="77777777" w:rsidR="00F23E76" w:rsidRDefault="00F23E76" w:rsidP="00F23E76">
      <w:pPr>
        <w:rPr>
          <w:sz w:val="22"/>
          <w:szCs w:val="22"/>
        </w:rPr>
      </w:pPr>
    </w:p>
    <w:p w14:paraId="51BBE088" w14:textId="77777777" w:rsidR="00F23E76" w:rsidRDefault="00F23E76" w:rsidP="00F23E76">
      <w:pPr>
        <w:rPr>
          <w:b/>
          <w:sz w:val="22"/>
          <w:szCs w:val="22"/>
        </w:rPr>
      </w:pPr>
      <w:r>
        <w:rPr>
          <w:b/>
          <w:sz w:val="22"/>
          <w:szCs w:val="22"/>
        </w:rPr>
        <w:t>Call for Evidence</w:t>
      </w:r>
      <w:r w:rsidR="003E5FD8">
        <w:rPr>
          <w:b/>
          <w:sz w:val="22"/>
          <w:szCs w:val="22"/>
        </w:rPr>
        <w:t xml:space="preserve"> </w:t>
      </w:r>
    </w:p>
    <w:p w14:paraId="51BBE089" w14:textId="77777777" w:rsidR="00F23E76" w:rsidRDefault="00F23E76" w:rsidP="00F23E76">
      <w:pPr>
        <w:rPr>
          <w:b/>
          <w:sz w:val="22"/>
          <w:szCs w:val="22"/>
        </w:rPr>
      </w:pPr>
    </w:p>
    <w:p w14:paraId="51BBE08A" w14:textId="77777777" w:rsidR="003E5FD8" w:rsidRDefault="00F23E76" w:rsidP="004F01AC">
      <w:pPr>
        <w:pStyle w:val="ListParagraph"/>
        <w:numPr>
          <w:ilvl w:val="0"/>
          <w:numId w:val="5"/>
        </w:numPr>
        <w:ind w:left="426" w:hanging="426"/>
        <w:rPr>
          <w:sz w:val="22"/>
          <w:szCs w:val="22"/>
        </w:rPr>
      </w:pPr>
      <w:r>
        <w:rPr>
          <w:sz w:val="22"/>
          <w:szCs w:val="22"/>
        </w:rPr>
        <w:t xml:space="preserve">The </w:t>
      </w:r>
      <w:r w:rsidR="003E5FD8">
        <w:rPr>
          <w:sz w:val="22"/>
          <w:szCs w:val="22"/>
        </w:rPr>
        <w:t>C</w:t>
      </w:r>
      <w:r w:rsidR="00C917F4">
        <w:rPr>
          <w:sz w:val="22"/>
          <w:szCs w:val="22"/>
        </w:rPr>
        <w:t xml:space="preserve">all </w:t>
      </w:r>
      <w:r w:rsidR="003E5FD8">
        <w:rPr>
          <w:sz w:val="22"/>
          <w:szCs w:val="22"/>
        </w:rPr>
        <w:t>f</w:t>
      </w:r>
      <w:r w:rsidR="00C917F4">
        <w:rPr>
          <w:sz w:val="22"/>
          <w:szCs w:val="22"/>
        </w:rPr>
        <w:t xml:space="preserve">or </w:t>
      </w:r>
      <w:r w:rsidR="003E5FD8">
        <w:rPr>
          <w:sz w:val="22"/>
          <w:szCs w:val="22"/>
        </w:rPr>
        <w:t>E</w:t>
      </w:r>
      <w:r w:rsidR="00C917F4">
        <w:rPr>
          <w:sz w:val="22"/>
          <w:szCs w:val="22"/>
        </w:rPr>
        <w:t>vidence</w:t>
      </w:r>
      <w:r w:rsidR="003E5FD8">
        <w:rPr>
          <w:sz w:val="22"/>
          <w:szCs w:val="22"/>
        </w:rPr>
        <w:t xml:space="preserve"> was launched </w:t>
      </w:r>
      <w:r w:rsidR="006A52D8">
        <w:rPr>
          <w:sz w:val="22"/>
          <w:szCs w:val="22"/>
        </w:rPr>
        <w:t xml:space="preserve">simultaneously </w:t>
      </w:r>
      <w:r w:rsidR="004F01AC">
        <w:rPr>
          <w:sz w:val="22"/>
          <w:szCs w:val="22"/>
        </w:rPr>
        <w:t>alongside</w:t>
      </w:r>
      <w:r w:rsidR="006A52D8">
        <w:rPr>
          <w:sz w:val="22"/>
          <w:szCs w:val="22"/>
        </w:rPr>
        <w:t xml:space="preserve"> </w:t>
      </w:r>
      <w:r w:rsidR="003E5FD8">
        <w:rPr>
          <w:sz w:val="22"/>
          <w:szCs w:val="22"/>
        </w:rPr>
        <w:t>the Commission</w:t>
      </w:r>
      <w:r w:rsidR="00B80631">
        <w:rPr>
          <w:sz w:val="22"/>
          <w:szCs w:val="22"/>
        </w:rPr>
        <w:t xml:space="preserve"> </w:t>
      </w:r>
      <w:r w:rsidR="006A52D8">
        <w:rPr>
          <w:sz w:val="22"/>
          <w:szCs w:val="22"/>
        </w:rPr>
        <w:t xml:space="preserve">on </w:t>
      </w:r>
      <w:r w:rsidR="003E5FD8">
        <w:rPr>
          <w:sz w:val="22"/>
          <w:szCs w:val="22"/>
        </w:rPr>
        <w:t>27</w:t>
      </w:r>
      <w:r w:rsidR="004F01AC" w:rsidRPr="004F01AC">
        <w:rPr>
          <w:sz w:val="22"/>
          <w:szCs w:val="22"/>
        </w:rPr>
        <w:t xml:space="preserve"> </w:t>
      </w:r>
      <w:r w:rsidR="00B80631">
        <w:rPr>
          <w:sz w:val="22"/>
          <w:szCs w:val="22"/>
        </w:rPr>
        <w:t>May 2014</w:t>
      </w:r>
      <w:r w:rsidR="003E5FD8">
        <w:rPr>
          <w:sz w:val="22"/>
          <w:szCs w:val="22"/>
        </w:rPr>
        <w:t>. The C</w:t>
      </w:r>
      <w:r w:rsidR="00C917F4">
        <w:rPr>
          <w:sz w:val="22"/>
          <w:szCs w:val="22"/>
        </w:rPr>
        <w:t xml:space="preserve">all </w:t>
      </w:r>
      <w:r w:rsidR="003E5FD8">
        <w:rPr>
          <w:sz w:val="22"/>
          <w:szCs w:val="22"/>
        </w:rPr>
        <w:t>f</w:t>
      </w:r>
      <w:r w:rsidR="00C917F4">
        <w:rPr>
          <w:sz w:val="22"/>
          <w:szCs w:val="22"/>
        </w:rPr>
        <w:t xml:space="preserve">or </w:t>
      </w:r>
      <w:r w:rsidR="003E5FD8">
        <w:rPr>
          <w:sz w:val="22"/>
          <w:szCs w:val="22"/>
        </w:rPr>
        <w:t>E</w:t>
      </w:r>
      <w:r w:rsidR="00C917F4">
        <w:rPr>
          <w:sz w:val="22"/>
          <w:szCs w:val="22"/>
        </w:rPr>
        <w:t>vidence</w:t>
      </w:r>
      <w:r w:rsidR="003E5FD8">
        <w:rPr>
          <w:sz w:val="22"/>
          <w:szCs w:val="22"/>
        </w:rPr>
        <w:t xml:space="preserve"> is seeking</w:t>
      </w:r>
      <w:r w:rsidR="003E5FD8" w:rsidRPr="003E5FD8">
        <w:rPr>
          <w:sz w:val="22"/>
          <w:szCs w:val="22"/>
        </w:rPr>
        <w:t xml:space="preserve"> evidence from businesses</w:t>
      </w:r>
      <w:r w:rsidR="003E5FD8">
        <w:rPr>
          <w:sz w:val="22"/>
          <w:szCs w:val="22"/>
        </w:rPr>
        <w:t xml:space="preserve"> leaders</w:t>
      </w:r>
      <w:r w:rsidR="003E5FD8" w:rsidRPr="003E5FD8">
        <w:rPr>
          <w:sz w:val="22"/>
          <w:szCs w:val="22"/>
        </w:rPr>
        <w:t xml:space="preserve"> and business organisations, the voluntary and faith sector, and public service </w:t>
      </w:r>
      <w:r w:rsidR="003E5FD8">
        <w:rPr>
          <w:sz w:val="22"/>
          <w:szCs w:val="22"/>
        </w:rPr>
        <w:t>leaders.</w:t>
      </w:r>
      <w:r w:rsidR="006A52D8">
        <w:rPr>
          <w:sz w:val="22"/>
          <w:szCs w:val="22"/>
        </w:rPr>
        <w:t xml:space="preserve"> </w:t>
      </w:r>
    </w:p>
    <w:p w14:paraId="51BBE08B" w14:textId="77777777" w:rsidR="00B80631" w:rsidRDefault="00B80631" w:rsidP="004F01AC">
      <w:pPr>
        <w:pStyle w:val="ListParagraph"/>
        <w:ind w:left="426"/>
        <w:rPr>
          <w:sz w:val="22"/>
          <w:szCs w:val="22"/>
        </w:rPr>
      </w:pPr>
    </w:p>
    <w:p w14:paraId="51BBE08C" w14:textId="77777777" w:rsidR="00B80631" w:rsidRDefault="00B80631" w:rsidP="004F01AC">
      <w:pPr>
        <w:pStyle w:val="ListParagraph"/>
        <w:numPr>
          <w:ilvl w:val="0"/>
          <w:numId w:val="5"/>
        </w:numPr>
        <w:ind w:left="426" w:hanging="426"/>
        <w:rPr>
          <w:sz w:val="22"/>
          <w:szCs w:val="22"/>
        </w:rPr>
      </w:pPr>
      <w:r>
        <w:rPr>
          <w:sz w:val="22"/>
          <w:szCs w:val="22"/>
        </w:rPr>
        <w:t>The deadline for submissions is 27 June 2014, and respondents can submit via e-form or a web based form.</w:t>
      </w:r>
    </w:p>
    <w:p w14:paraId="51BBE08E" w14:textId="77777777" w:rsidR="00A97178" w:rsidRDefault="00266CAA" w:rsidP="004F01AC">
      <w:pPr>
        <w:pStyle w:val="ListParagraph"/>
        <w:numPr>
          <w:ilvl w:val="0"/>
          <w:numId w:val="5"/>
        </w:numPr>
        <w:ind w:left="426" w:hanging="426"/>
        <w:rPr>
          <w:sz w:val="22"/>
          <w:szCs w:val="22"/>
        </w:rPr>
      </w:pPr>
      <w:r>
        <w:rPr>
          <w:sz w:val="22"/>
          <w:szCs w:val="22"/>
        </w:rPr>
        <w:t>The</w:t>
      </w:r>
      <w:r w:rsidR="006A52D8">
        <w:rPr>
          <w:sz w:val="22"/>
          <w:szCs w:val="22"/>
        </w:rPr>
        <w:t xml:space="preserve"> C</w:t>
      </w:r>
      <w:r w:rsidR="00C917F4">
        <w:rPr>
          <w:sz w:val="22"/>
          <w:szCs w:val="22"/>
        </w:rPr>
        <w:t xml:space="preserve">all </w:t>
      </w:r>
      <w:r w:rsidR="006A52D8">
        <w:rPr>
          <w:sz w:val="22"/>
          <w:szCs w:val="22"/>
        </w:rPr>
        <w:t>f</w:t>
      </w:r>
      <w:r w:rsidR="00C917F4">
        <w:rPr>
          <w:sz w:val="22"/>
          <w:szCs w:val="22"/>
        </w:rPr>
        <w:t xml:space="preserve">or </w:t>
      </w:r>
      <w:r w:rsidR="006A52D8">
        <w:rPr>
          <w:sz w:val="22"/>
          <w:szCs w:val="22"/>
        </w:rPr>
        <w:t>E</w:t>
      </w:r>
      <w:r w:rsidR="00C917F4">
        <w:rPr>
          <w:sz w:val="22"/>
          <w:szCs w:val="22"/>
        </w:rPr>
        <w:t>vidence</w:t>
      </w:r>
      <w:r w:rsidR="006A52D8">
        <w:rPr>
          <w:sz w:val="22"/>
          <w:szCs w:val="22"/>
        </w:rPr>
        <w:t xml:space="preserve"> is being promoted in the following ways:</w:t>
      </w:r>
    </w:p>
    <w:p w14:paraId="51BBE08F" w14:textId="77777777" w:rsidR="006A52D8" w:rsidRDefault="006A52D8" w:rsidP="00F23E76">
      <w:pPr>
        <w:rPr>
          <w:sz w:val="22"/>
          <w:szCs w:val="22"/>
        </w:rPr>
      </w:pPr>
    </w:p>
    <w:p w14:paraId="51BBE090" w14:textId="77777777" w:rsidR="00A97178" w:rsidRPr="004F01AC" w:rsidRDefault="006A52D8" w:rsidP="004F01AC">
      <w:pPr>
        <w:pStyle w:val="ListParagraph"/>
        <w:numPr>
          <w:ilvl w:val="0"/>
          <w:numId w:val="7"/>
        </w:numPr>
        <w:ind w:left="1134" w:hanging="708"/>
        <w:rPr>
          <w:sz w:val="22"/>
          <w:szCs w:val="22"/>
        </w:rPr>
      </w:pPr>
      <w:r w:rsidRPr="004F01AC">
        <w:rPr>
          <w:sz w:val="22"/>
          <w:szCs w:val="22"/>
        </w:rPr>
        <w:t xml:space="preserve">Commissioners have been encouraged to promote </w:t>
      </w:r>
      <w:r w:rsidR="000920A9">
        <w:rPr>
          <w:sz w:val="22"/>
          <w:szCs w:val="22"/>
        </w:rPr>
        <w:t xml:space="preserve">it </w:t>
      </w:r>
      <w:r w:rsidRPr="004F01AC">
        <w:rPr>
          <w:sz w:val="22"/>
          <w:szCs w:val="22"/>
        </w:rPr>
        <w:t>v</w:t>
      </w:r>
      <w:r w:rsidR="004F01AC">
        <w:rPr>
          <w:sz w:val="22"/>
          <w:szCs w:val="22"/>
        </w:rPr>
        <w:t>ia their professional networks</w:t>
      </w:r>
    </w:p>
    <w:p w14:paraId="51BBE091" w14:textId="77777777" w:rsidR="006A52D8" w:rsidRPr="004F01AC" w:rsidRDefault="006A52D8" w:rsidP="004F01AC">
      <w:pPr>
        <w:pStyle w:val="ListParagraph"/>
        <w:numPr>
          <w:ilvl w:val="0"/>
          <w:numId w:val="7"/>
        </w:numPr>
        <w:ind w:left="1134" w:hanging="708"/>
        <w:rPr>
          <w:sz w:val="22"/>
          <w:szCs w:val="22"/>
        </w:rPr>
      </w:pPr>
      <w:r w:rsidRPr="004F01AC">
        <w:rPr>
          <w:sz w:val="22"/>
          <w:szCs w:val="22"/>
        </w:rPr>
        <w:t>LGA bulletins and networks</w:t>
      </w:r>
    </w:p>
    <w:p w14:paraId="51BBE092" w14:textId="77777777" w:rsidR="006A52D8" w:rsidRPr="004F01AC" w:rsidRDefault="006A52D8" w:rsidP="004F01AC">
      <w:pPr>
        <w:pStyle w:val="ListParagraph"/>
        <w:numPr>
          <w:ilvl w:val="0"/>
          <w:numId w:val="7"/>
        </w:numPr>
        <w:ind w:left="1134" w:hanging="708"/>
        <w:rPr>
          <w:sz w:val="22"/>
          <w:szCs w:val="22"/>
        </w:rPr>
      </w:pPr>
      <w:r w:rsidRPr="004F01AC">
        <w:rPr>
          <w:sz w:val="22"/>
          <w:szCs w:val="22"/>
        </w:rPr>
        <w:t>Via social media, including Twitter and LinkedIn</w:t>
      </w:r>
    </w:p>
    <w:p w14:paraId="51BBE093" w14:textId="77777777" w:rsidR="006A52D8" w:rsidRPr="004F01AC" w:rsidRDefault="006A52D8" w:rsidP="004F01AC">
      <w:pPr>
        <w:pStyle w:val="ListParagraph"/>
        <w:numPr>
          <w:ilvl w:val="0"/>
          <w:numId w:val="7"/>
        </w:numPr>
        <w:ind w:left="1134" w:hanging="708"/>
        <w:rPr>
          <w:sz w:val="22"/>
          <w:szCs w:val="22"/>
        </w:rPr>
      </w:pPr>
      <w:r w:rsidRPr="004F01AC">
        <w:rPr>
          <w:sz w:val="22"/>
          <w:szCs w:val="22"/>
        </w:rPr>
        <w:t>Via the trade press</w:t>
      </w:r>
    </w:p>
    <w:p w14:paraId="51BBE094" w14:textId="77777777" w:rsidR="006A52D8" w:rsidRDefault="006A52D8" w:rsidP="006A52D8">
      <w:pPr>
        <w:rPr>
          <w:sz w:val="22"/>
          <w:szCs w:val="22"/>
        </w:rPr>
      </w:pPr>
    </w:p>
    <w:p w14:paraId="51BBE095" w14:textId="77777777" w:rsidR="006A52D8" w:rsidRDefault="00B80631" w:rsidP="004F01AC">
      <w:pPr>
        <w:pStyle w:val="ListParagraph"/>
        <w:numPr>
          <w:ilvl w:val="0"/>
          <w:numId w:val="5"/>
        </w:numPr>
        <w:ind w:left="426" w:hanging="426"/>
        <w:rPr>
          <w:sz w:val="22"/>
          <w:szCs w:val="22"/>
        </w:rPr>
      </w:pPr>
      <w:r>
        <w:rPr>
          <w:sz w:val="22"/>
          <w:szCs w:val="22"/>
        </w:rPr>
        <w:t xml:space="preserve">The Commission </w:t>
      </w:r>
      <w:r w:rsidR="006A52D8">
        <w:rPr>
          <w:sz w:val="22"/>
          <w:szCs w:val="22"/>
        </w:rPr>
        <w:t>would encourage Board Members to promote the C</w:t>
      </w:r>
      <w:r w:rsidR="00C917F4">
        <w:rPr>
          <w:sz w:val="22"/>
          <w:szCs w:val="22"/>
        </w:rPr>
        <w:t xml:space="preserve">all </w:t>
      </w:r>
      <w:r w:rsidR="006A52D8">
        <w:rPr>
          <w:sz w:val="22"/>
          <w:szCs w:val="22"/>
        </w:rPr>
        <w:t>f</w:t>
      </w:r>
      <w:r w:rsidR="00C917F4">
        <w:rPr>
          <w:sz w:val="22"/>
          <w:szCs w:val="22"/>
        </w:rPr>
        <w:t xml:space="preserve">or </w:t>
      </w:r>
      <w:r w:rsidR="006A52D8">
        <w:rPr>
          <w:sz w:val="22"/>
          <w:szCs w:val="22"/>
        </w:rPr>
        <w:t>E</w:t>
      </w:r>
      <w:r w:rsidR="00C917F4">
        <w:rPr>
          <w:sz w:val="22"/>
          <w:szCs w:val="22"/>
        </w:rPr>
        <w:t xml:space="preserve">vidence </w:t>
      </w:r>
      <w:r w:rsidR="00015820">
        <w:rPr>
          <w:sz w:val="22"/>
          <w:szCs w:val="22"/>
        </w:rPr>
        <w:t xml:space="preserve">among leaders from all sectors in </w:t>
      </w:r>
      <w:r>
        <w:rPr>
          <w:sz w:val="22"/>
          <w:szCs w:val="22"/>
        </w:rPr>
        <w:t xml:space="preserve">their local area. </w:t>
      </w:r>
    </w:p>
    <w:p w14:paraId="51BBE096" w14:textId="77777777" w:rsidR="00015820" w:rsidRDefault="00015820" w:rsidP="006A52D8">
      <w:pPr>
        <w:rPr>
          <w:sz w:val="22"/>
          <w:szCs w:val="22"/>
        </w:rPr>
      </w:pPr>
    </w:p>
    <w:p w14:paraId="51BBE097" w14:textId="77777777" w:rsidR="00015820" w:rsidRDefault="00015820" w:rsidP="006A52D8">
      <w:pPr>
        <w:rPr>
          <w:b/>
          <w:sz w:val="22"/>
          <w:szCs w:val="22"/>
        </w:rPr>
      </w:pPr>
      <w:r>
        <w:rPr>
          <w:b/>
          <w:sz w:val="22"/>
          <w:szCs w:val="22"/>
        </w:rPr>
        <w:t>Non-Metropolitan Commission: Research Specification</w:t>
      </w:r>
    </w:p>
    <w:p w14:paraId="51BBE098" w14:textId="77777777" w:rsidR="00015820" w:rsidRDefault="00015820" w:rsidP="006A52D8">
      <w:pPr>
        <w:rPr>
          <w:b/>
          <w:sz w:val="22"/>
          <w:szCs w:val="22"/>
        </w:rPr>
      </w:pPr>
    </w:p>
    <w:p w14:paraId="51BBE099" w14:textId="77777777" w:rsidR="002D7875" w:rsidRDefault="00015820" w:rsidP="004F01AC">
      <w:pPr>
        <w:pStyle w:val="ListParagraph"/>
        <w:numPr>
          <w:ilvl w:val="0"/>
          <w:numId w:val="5"/>
        </w:numPr>
        <w:ind w:left="426" w:hanging="426"/>
        <w:rPr>
          <w:sz w:val="22"/>
          <w:szCs w:val="22"/>
        </w:rPr>
      </w:pPr>
      <w:r>
        <w:rPr>
          <w:sz w:val="22"/>
          <w:szCs w:val="22"/>
        </w:rPr>
        <w:t xml:space="preserve">The Commission </w:t>
      </w:r>
      <w:r w:rsidR="00266CAA">
        <w:rPr>
          <w:sz w:val="22"/>
          <w:szCs w:val="22"/>
        </w:rPr>
        <w:t xml:space="preserve">has </w:t>
      </w:r>
      <w:r>
        <w:rPr>
          <w:sz w:val="22"/>
          <w:szCs w:val="22"/>
        </w:rPr>
        <w:t>commission</w:t>
      </w:r>
      <w:r w:rsidR="00266CAA">
        <w:rPr>
          <w:sz w:val="22"/>
          <w:szCs w:val="22"/>
        </w:rPr>
        <w:t>ed the first phase of</w:t>
      </w:r>
      <w:r>
        <w:rPr>
          <w:sz w:val="22"/>
          <w:szCs w:val="22"/>
        </w:rPr>
        <w:t xml:space="preserve"> </w:t>
      </w:r>
      <w:r w:rsidR="00266CAA">
        <w:rPr>
          <w:sz w:val="22"/>
          <w:szCs w:val="22"/>
        </w:rPr>
        <w:t xml:space="preserve">independent </w:t>
      </w:r>
      <w:r>
        <w:rPr>
          <w:sz w:val="22"/>
          <w:szCs w:val="22"/>
        </w:rPr>
        <w:t xml:space="preserve">research </w:t>
      </w:r>
      <w:r w:rsidR="00266CAA">
        <w:rPr>
          <w:sz w:val="22"/>
          <w:szCs w:val="22"/>
        </w:rPr>
        <w:t>to</w:t>
      </w:r>
      <w:r>
        <w:rPr>
          <w:sz w:val="22"/>
          <w:szCs w:val="22"/>
        </w:rPr>
        <w:t xml:space="preserve"> complement the </w:t>
      </w:r>
      <w:r w:rsidR="00BA77C1">
        <w:rPr>
          <w:sz w:val="22"/>
          <w:szCs w:val="22"/>
        </w:rPr>
        <w:t>evidence gather</w:t>
      </w:r>
      <w:r w:rsidR="00266CAA">
        <w:rPr>
          <w:sz w:val="22"/>
          <w:szCs w:val="22"/>
        </w:rPr>
        <w:t>ed</w:t>
      </w:r>
      <w:r>
        <w:rPr>
          <w:sz w:val="22"/>
          <w:szCs w:val="22"/>
        </w:rPr>
        <w:t xml:space="preserve">, </w:t>
      </w:r>
      <w:r w:rsidR="00266CAA">
        <w:rPr>
          <w:sz w:val="22"/>
          <w:szCs w:val="22"/>
        </w:rPr>
        <w:t xml:space="preserve">which will </w:t>
      </w:r>
      <w:r>
        <w:rPr>
          <w:sz w:val="22"/>
          <w:szCs w:val="22"/>
        </w:rPr>
        <w:t>examin</w:t>
      </w:r>
      <w:r w:rsidR="00266CAA">
        <w:rPr>
          <w:sz w:val="22"/>
          <w:szCs w:val="22"/>
        </w:rPr>
        <w:t>e</w:t>
      </w:r>
      <w:r w:rsidR="002D7875">
        <w:rPr>
          <w:sz w:val="22"/>
          <w:szCs w:val="22"/>
        </w:rPr>
        <w:t xml:space="preserve"> the economy of non-metropolitan areas and </w:t>
      </w:r>
      <w:r w:rsidR="00266CAA">
        <w:rPr>
          <w:sz w:val="22"/>
          <w:szCs w:val="22"/>
        </w:rPr>
        <w:t>challenges and opportunities for growth</w:t>
      </w:r>
      <w:r w:rsidR="002D7875">
        <w:rPr>
          <w:sz w:val="22"/>
          <w:szCs w:val="22"/>
        </w:rPr>
        <w:t xml:space="preserve">. </w:t>
      </w:r>
    </w:p>
    <w:p w14:paraId="51BBE09A" w14:textId="77777777" w:rsidR="002D7875" w:rsidRDefault="002D7875" w:rsidP="004F01AC">
      <w:pPr>
        <w:pStyle w:val="ListParagraph"/>
        <w:ind w:left="426"/>
        <w:rPr>
          <w:sz w:val="22"/>
          <w:szCs w:val="22"/>
        </w:rPr>
      </w:pPr>
    </w:p>
    <w:p w14:paraId="51BBE09B" w14:textId="77777777" w:rsidR="00015820" w:rsidRDefault="00015820" w:rsidP="004F01AC">
      <w:pPr>
        <w:pStyle w:val="ListParagraph"/>
        <w:numPr>
          <w:ilvl w:val="0"/>
          <w:numId w:val="5"/>
        </w:numPr>
        <w:ind w:left="426" w:hanging="426"/>
        <w:rPr>
          <w:sz w:val="22"/>
          <w:szCs w:val="22"/>
        </w:rPr>
      </w:pPr>
      <w:r>
        <w:rPr>
          <w:sz w:val="22"/>
          <w:szCs w:val="22"/>
        </w:rPr>
        <w:t xml:space="preserve">It is proposed that the research </w:t>
      </w:r>
      <w:r w:rsidR="002D7875">
        <w:rPr>
          <w:sz w:val="22"/>
          <w:szCs w:val="22"/>
        </w:rPr>
        <w:t>would consist of three phases: a quantitative analysis of the economy of non-metropolitan areas, mapping of funding streams available and case studies to identify best practice</w:t>
      </w:r>
      <w:r w:rsidR="00460CE5">
        <w:rPr>
          <w:sz w:val="22"/>
          <w:szCs w:val="22"/>
        </w:rPr>
        <w:t xml:space="preserve"> in relation to growth</w:t>
      </w:r>
      <w:r w:rsidR="002D7875">
        <w:rPr>
          <w:sz w:val="22"/>
          <w:szCs w:val="22"/>
        </w:rPr>
        <w:t xml:space="preserve">. </w:t>
      </w:r>
    </w:p>
    <w:p w14:paraId="51BBE09C" w14:textId="77777777" w:rsidR="00015820" w:rsidRPr="004F01AC" w:rsidRDefault="00015820" w:rsidP="004F01AC">
      <w:pPr>
        <w:pStyle w:val="ListParagraph"/>
        <w:ind w:left="426"/>
        <w:rPr>
          <w:sz w:val="22"/>
          <w:szCs w:val="22"/>
        </w:rPr>
      </w:pPr>
    </w:p>
    <w:p w14:paraId="51BBE09D" w14:textId="77777777" w:rsidR="002D7875" w:rsidRDefault="00015820" w:rsidP="004F01AC">
      <w:pPr>
        <w:pStyle w:val="ListParagraph"/>
        <w:numPr>
          <w:ilvl w:val="0"/>
          <w:numId w:val="5"/>
        </w:numPr>
        <w:ind w:left="426" w:hanging="426"/>
        <w:rPr>
          <w:sz w:val="22"/>
          <w:szCs w:val="22"/>
        </w:rPr>
      </w:pPr>
      <w:r>
        <w:rPr>
          <w:sz w:val="22"/>
          <w:szCs w:val="22"/>
        </w:rPr>
        <w:t>Experian’s research and strategy team</w:t>
      </w:r>
      <w:r w:rsidR="00C917F4">
        <w:rPr>
          <w:sz w:val="22"/>
          <w:szCs w:val="22"/>
        </w:rPr>
        <w:t xml:space="preserve"> </w:t>
      </w:r>
      <w:r>
        <w:rPr>
          <w:sz w:val="22"/>
          <w:szCs w:val="22"/>
        </w:rPr>
        <w:t>are undertaking</w:t>
      </w:r>
      <w:r w:rsidR="002D7875">
        <w:rPr>
          <w:sz w:val="22"/>
          <w:szCs w:val="22"/>
        </w:rPr>
        <w:t xml:space="preserve"> the first phase</w:t>
      </w:r>
      <w:r>
        <w:rPr>
          <w:sz w:val="22"/>
          <w:szCs w:val="22"/>
        </w:rPr>
        <w:t xml:space="preserve"> of the Commission’s research</w:t>
      </w:r>
      <w:r w:rsidR="002D7875">
        <w:rPr>
          <w:sz w:val="22"/>
          <w:szCs w:val="22"/>
        </w:rPr>
        <w:t>. This aims to:</w:t>
      </w:r>
    </w:p>
    <w:p w14:paraId="51BBE09E" w14:textId="77777777" w:rsidR="002D7875" w:rsidRDefault="002D7875" w:rsidP="006A52D8">
      <w:pPr>
        <w:rPr>
          <w:sz w:val="22"/>
          <w:szCs w:val="22"/>
        </w:rPr>
      </w:pPr>
    </w:p>
    <w:p w14:paraId="51BBE09F" w14:textId="77777777" w:rsidR="00391EC7" w:rsidRPr="004F01AC" w:rsidRDefault="00391EC7" w:rsidP="000920A9">
      <w:pPr>
        <w:pStyle w:val="ListParagraph"/>
        <w:numPr>
          <w:ilvl w:val="0"/>
          <w:numId w:val="8"/>
        </w:numPr>
        <w:ind w:left="1134" w:hanging="708"/>
        <w:rPr>
          <w:sz w:val="22"/>
          <w:szCs w:val="22"/>
        </w:rPr>
      </w:pPr>
      <w:r w:rsidRPr="004F01AC">
        <w:rPr>
          <w:sz w:val="22"/>
          <w:szCs w:val="22"/>
        </w:rPr>
        <w:t xml:space="preserve">Examine quantitatively, </w:t>
      </w:r>
      <w:r w:rsidR="002D7875" w:rsidRPr="004F01AC">
        <w:rPr>
          <w:sz w:val="22"/>
          <w:szCs w:val="22"/>
        </w:rPr>
        <w:t>the economy and unique characteristics of non-metropolitan areas</w:t>
      </w:r>
      <w:r w:rsidRPr="004F01AC">
        <w:rPr>
          <w:sz w:val="22"/>
          <w:szCs w:val="22"/>
        </w:rPr>
        <w:t>, including examining past trends and forecasts.</w:t>
      </w:r>
    </w:p>
    <w:p w14:paraId="51BBE0A0" w14:textId="77777777" w:rsidR="004F01AC" w:rsidRPr="00391EC7" w:rsidRDefault="004F01AC" w:rsidP="000920A9">
      <w:pPr>
        <w:pStyle w:val="ListParagraph"/>
        <w:ind w:left="1134" w:hanging="708"/>
        <w:rPr>
          <w:sz w:val="22"/>
          <w:szCs w:val="22"/>
        </w:rPr>
      </w:pPr>
    </w:p>
    <w:p w14:paraId="51BBE0A1" w14:textId="77777777" w:rsidR="002D7875" w:rsidRPr="004F01AC" w:rsidRDefault="002D7875" w:rsidP="000920A9">
      <w:pPr>
        <w:pStyle w:val="ListParagraph"/>
        <w:numPr>
          <w:ilvl w:val="0"/>
          <w:numId w:val="8"/>
        </w:numPr>
        <w:ind w:left="1134" w:hanging="708"/>
        <w:rPr>
          <w:sz w:val="22"/>
          <w:szCs w:val="22"/>
        </w:rPr>
      </w:pPr>
      <w:r w:rsidRPr="004F01AC">
        <w:rPr>
          <w:sz w:val="22"/>
          <w:szCs w:val="22"/>
        </w:rPr>
        <w:t>Compare the economies of non-metropolitan and metropolitan areas</w:t>
      </w:r>
      <w:r w:rsidR="00391EC7" w:rsidRPr="004F01AC">
        <w:rPr>
          <w:sz w:val="22"/>
          <w:szCs w:val="22"/>
        </w:rPr>
        <w:t>, and explore any difference</w:t>
      </w:r>
      <w:r w:rsidR="00266CAA" w:rsidRPr="004F01AC">
        <w:rPr>
          <w:sz w:val="22"/>
          <w:szCs w:val="22"/>
        </w:rPr>
        <w:t>s</w:t>
      </w:r>
      <w:r w:rsidR="00391EC7" w:rsidRPr="004F01AC">
        <w:rPr>
          <w:sz w:val="22"/>
          <w:szCs w:val="22"/>
        </w:rPr>
        <w:t xml:space="preserve"> and interdependence</w:t>
      </w:r>
      <w:r w:rsidR="00266CAA" w:rsidRPr="004F01AC">
        <w:rPr>
          <w:sz w:val="22"/>
          <w:szCs w:val="22"/>
        </w:rPr>
        <w:t>s</w:t>
      </w:r>
      <w:r w:rsidR="00391EC7" w:rsidRPr="004F01AC">
        <w:rPr>
          <w:sz w:val="22"/>
          <w:szCs w:val="22"/>
        </w:rPr>
        <w:t>.</w:t>
      </w:r>
    </w:p>
    <w:p w14:paraId="51BBE0A2" w14:textId="77777777" w:rsidR="004F01AC" w:rsidRPr="004F01AC" w:rsidRDefault="004F01AC" w:rsidP="000920A9">
      <w:pPr>
        <w:ind w:left="1134" w:hanging="708"/>
        <w:rPr>
          <w:sz w:val="22"/>
          <w:szCs w:val="22"/>
        </w:rPr>
      </w:pPr>
    </w:p>
    <w:p w14:paraId="51BBE0A3" w14:textId="77777777" w:rsidR="00391EC7" w:rsidRPr="004F01AC" w:rsidRDefault="000D7964" w:rsidP="000920A9">
      <w:pPr>
        <w:pStyle w:val="ListParagraph"/>
        <w:numPr>
          <w:ilvl w:val="0"/>
          <w:numId w:val="8"/>
        </w:numPr>
        <w:ind w:left="1134" w:hanging="708"/>
        <w:rPr>
          <w:sz w:val="22"/>
          <w:szCs w:val="22"/>
        </w:rPr>
      </w:pPr>
      <w:r w:rsidRPr="004F01AC">
        <w:rPr>
          <w:sz w:val="22"/>
          <w:szCs w:val="22"/>
        </w:rPr>
        <w:t>Identify high growth industries</w:t>
      </w:r>
      <w:r w:rsidR="00391EC7" w:rsidRPr="004F01AC">
        <w:rPr>
          <w:sz w:val="22"/>
          <w:szCs w:val="22"/>
        </w:rPr>
        <w:t xml:space="preserve"> and the potential value these industries add to non-metropolitan areas</w:t>
      </w:r>
      <w:r w:rsidR="004F01AC" w:rsidRPr="004F01AC">
        <w:rPr>
          <w:sz w:val="22"/>
          <w:szCs w:val="22"/>
        </w:rPr>
        <w:t>.</w:t>
      </w:r>
    </w:p>
    <w:p w14:paraId="51BBE0A4" w14:textId="77777777" w:rsidR="004F01AC" w:rsidRPr="004F01AC" w:rsidRDefault="004F01AC" w:rsidP="000920A9">
      <w:pPr>
        <w:ind w:left="1134" w:hanging="708"/>
        <w:rPr>
          <w:sz w:val="22"/>
          <w:szCs w:val="22"/>
        </w:rPr>
      </w:pPr>
    </w:p>
    <w:p w14:paraId="51BBE0A5" w14:textId="77777777" w:rsidR="002D7875" w:rsidRPr="004F01AC" w:rsidRDefault="00391EC7" w:rsidP="000920A9">
      <w:pPr>
        <w:pStyle w:val="ListParagraph"/>
        <w:numPr>
          <w:ilvl w:val="0"/>
          <w:numId w:val="8"/>
        </w:numPr>
        <w:ind w:left="1134" w:hanging="708"/>
        <w:rPr>
          <w:sz w:val="22"/>
          <w:szCs w:val="22"/>
        </w:rPr>
      </w:pPr>
      <w:r w:rsidRPr="004F01AC">
        <w:rPr>
          <w:sz w:val="22"/>
          <w:szCs w:val="22"/>
        </w:rPr>
        <w:t>Examine the factors that drive g</w:t>
      </w:r>
      <w:r w:rsidR="004F01AC" w:rsidRPr="004F01AC">
        <w:rPr>
          <w:sz w:val="22"/>
          <w:szCs w:val="22"/>
        </w:rPr>
        <w:t>rowth in non-metropolitan areas.</w:t>
      </w:r>
    </w:p>
    <w:p w14:paraId="51BBE0A6" w14:textId="77777777" w:rsidR="00015820" w:rsidRDefault="00015820" w:rsidP="006A52D8">
      <w:pPr>
        <w:rPr>
          <w:sz w:val="22"/>
          <w:szCs w:val="22"/>
        </w:rPr>
      </w:pPr>
    </w:p>
    <w:p w14:paraId="51BBE0A7" w14:textId="77777777" w:rsidR="00015820" w:rsidRDefault="00460CE5" w:rsidP="004F01AC">
      <w:pPr>
        <w:pStyle w:val="ListParagraph"/>
        <w:numPr>
          <w:ilvl w:val="0"/>
          <w:numId w:val="5"/>
        </w:numPr>
        <w:ind w:left="426" w:hanging="426"/>
        <w:rPr>
          <w:sz w:val="22"/>
          <w:szCs w:val="22"/>
        </w:rPr>
      </w:pPr>
      <w:r>
        <w:rPr>
          <w:sz w:val="22"/>
          <w:szCs w:val="22"/>
        </w:rPr>
        <w:t xml:space="preserve">Initial outputs </w:t>
      </w:r>
      <w:r w:rsidR="00391EC7">
        <w:rPr>
          <w:sz w:val="22"/>
          <w:szCs w:val="22"/>
        </w:rPr>
        <w:t>fr</w:t>
      </w:r>
      <w:r>
        <w:rPr>
          <w:sz w:val="22"/>
          <w:szCs w:val="22"/>
        </w:rPr>
        <w:t xml:space="preserve">om the research are expected </w:t>
      </w:r>
      <w:r w:rsidR="00266CAA">
        <w:rPr>
          <w:sz w:val="22"/>
          <w:szCs w:val="22"/>
        </w:rPr>
        <w:t>in early</w:t>
      </w:r>
      <w:r w:rsidR="004F01AC">
        <w:rPr>
          <w:sz w:val="22"/>
          <w:szCs w:val="22"/>
        </w:rPr>
        <w:t xml:space="preserve"> June for review,</w:t>
      </w:r>
      <w:r>
        <w:rPr>
          <w:sz w:val="22"/>
          <w:szCs w:val="22"/>
        </w:rPr>
        <w:t xml:space="preserve"> with </w:t>
      </w:r>
      <w:r w:rsidR="004F01AC">
        <w:rPr>
          <w:sz w:val="22"/>
          <w:szCs w:val="22"/>
        </w:rPr>
        <w:t>the aim of</w:t>
      </w:r>
      <w:r w:rsidR="000D7964">
        <w:rPr>
          <w:sz w:val="22"/>
          <w:szCs w:val="22"/>
        </w:rPr>
        <w:t xml:space="preserve"> publish</w:t>
      </w:r>
      <w:r w:rsidR="004F01AC">
        <w:rPr>
          <w:sz w:val="22"/>
          <w:szCs w:val="22"/>
        </w:rPr>
        <w:t>ing</w:t>
      </w:r>
      <w:r w:rsidR="000D7964">
        <w:rPr>
          <w:sz w:val="22"/>
          <w:szCs w:val="22"/>
        </w:rPr>
        <w:t xml:space="preserve"> </w:t>
      </w:r>
      <w:r>
        <w:rPr>
          <w:sz w:val="22"/>
          <w:szCs w:val="22"/>
        </w:rPr>
        <w:t>research findings</w:t>
      </w:r>
      <w:r w:rsidR="000D7964">
        <w:rPr>
          <w:sz w:val="22"/>
          <w:szCs w:val="22"/>
        </w:rPr>
        <w:t xml:space="preserve"> at the LGA’s annual conference.</w:t>
      </w:r>
    </w:p>
    <w:p w14:paraId="51BBE0A8" w14:textId="77777777" w:rsidR="00460CE5" w:rsidRDefault="00460CE5" w:rsidP="006A52D8">
      <w:pPr>
        <w:rPr>
          <w:sz w:val="22"/>
          <w:szCs w:val="22"/>
        </w:rPr>
      </w:pPr>
    </w:p>
    <w:p w14:paraId="51BBE0A9" w14:textId="77777777" w:rsidR="00460CE5" w:rsidRDefault="00460CE5" w:rsidP="00460CE5">
      <w:pPr>
        <w:rPr>
          <w:b/>
          <w:sz w:val="22"/>
          <w:szCs w:val="22"/>
        </w:rPr>
      </w:pPr>
      <w:r>
        <w:rPr>
          <w:b/>
          <w:sz w:val="22"/>
          <w:szCs w:val="22"/>
        </w:rPr>
        <w:t>Future Non-Metropolitan Commission meeting</w:t>
      </w:r>
    </w:p>
    <w:p w14:paraId="51BBE0AA" w14:textId="77777777" w:rsidR="00460CE5" w:rsidRDefault="00460CE5" w:rsidP="00460CE5">
      <w:pPr>
        <w:rPr>
          <w:b/>
          <w:sz w:val="22"/>
          <w:szCs w:val="22"/>
        </w:rPr>
      </w:pPr>
    </w:p>
    <w:p w14:paraId="51BBE0AB" w14:textId="77777777" w:rsidR="00460CE5" w:rsidRDefault="00460CE5" w:rsidP="004F01AC">
      <w:pPr>
        <w:pStyle w:val="ListParagraph"/>
        <w:numPr>
          <w:ilvl w:val="0"/>
          <w:numId w:val="5"/>
        </w:numPr>
        <w:ind w:left="426" w:hanging="426"/>
        <w:rPr>
          <w:sz w:val="22"/>
          <w:szCs w:val="22"/>
        </w:rPr>
      </w:pPr>
      <w:r>
        <w:rPr>
          <w:sz w:val="22"/>
          <w:szCs w:val="22"/>
        </w:rPr>
        <w:t>The next Commission meeting is scheduled on the 30</w:t>
      </w:r>
      <w:r w:rsidR="000920A9">
        <w:rPr>
          <w:sz w:val="22"/>
          <w:szCs w:val="22"/>
        </w:rPr>
        <w:t xml:space="preserve"> June.</w:t>
      </w:r>
      <w:r>
        <w:rPr>
          <w:sz w:val="22"/>
          <w:szCs w:val="22"/>
        </w:rPr>
        <w:t xml:space="preserve"> </w:t>
      </w:r>
      <w:r w:rsidR="000920A9">
        <w:rPr>
          <w:sz w:val="22"/>
          <w:szCs w:val="22"/>
        </w:rPr>
        <w:t>F</w:t>
      </w:r>
      <w:r w:rsidR="00266CAA">
        <w:rPr>
          <w:sz w:val="22"/>
          <w:szCs w:val="22"/>
        </w:rPr>
        <w:t>urther</w:t>
      </w:r>
      <w:r>
        <w:rPr>
          <w:sz w:val="22"/>
          <w:szCs w:val="22"/>
        </w:rPr>
        <w:t xml:space="preserve"> meetings are scheduled for the end of July and the beginning of September. </w:t>
      </w:r>
    </w:p>
    <w:p w14:paraId="51BBE0AC" w14:textId="77777777" w:rsidR="000D7964" w:rsidRDefault="000D7964" w:rsidP="004F01AC">
      <w:pPr>
        <w:pStyle w:val="ListParagraph"/>
        <w:ind w:left="426"/>
        <w:rPr>
          <w:sz w:val="22"/>
          <w:szCs w:val="22"/>
        </w:rPr>
      </w:pPr>
    </w:p>
    <w:p w14:paraId="51BBE0AD" w14:textId="77777777" w:rsidR="000D7964" w:rsidRPr="00460CE5" w:rsidRDefault="000D7964" w:rsidP="004F01AC">
      <w:pPr>
        <w:pStyle w:val="ListParagraph"/>
        <w:numPr>
          <w:ilvl w:val="0"/>
          <w:numId w:val="5"/>
        </w:numPr>
        <w:ind w:left="426" w:hanging="426"/>
        <w:rPr>
          <w:sz w:val="22"/>
          <w:szCs w:val="22"/>
        </w:rPr>
      </w:pPr>
      <w:r>
        <w:rPr>
          <w:sz w:val="22"/>
          <w:szCs w:val="22"/>
        </w:rPr>
        <w:t>The T</w:t>
      </w:r>
      <w:r w:rsidR="004F01AC">
        <w:rPr>
          <w:sz w:val="22"/>
          <w:szCs w:val="22"/>
        </w:rPr>
        <w:t xml:space="preserve">erms </w:t>
      </w:r>
      <w:r>
        <w:rPr>
          <w:sz w:val="22"/>
          <w:szCs w:val="22"/>
        </w:rPr>
        <w:t>o</w:t>
      </w:r>
      <w:r w:rsidR="004F01AC">
        <w:rPr>
          <w:sz w:val="22"/>
          <w:szCs w:val="22"/>
        </w:rPr>
        <w:t xml:space="preserve">f </w:t>
      </w:r>
      <w:r>
        <w:rPr>
          <w:sz w:val="22"/>
          <w:szCs w:val="22"/>
        </w:rPr>
        <w:t>R</w:t>
      </w:r>
      <w:r w:rsidR="004F01AC">
        <w:rPr>
          <w:sz w:val="22"/>
          <w:szCs w:val="22"/>
        </w:rPr>
        <w:t>eference</w:t>
      </w:r>
      <w:r>
        <w:rPr>
          <w:sz w:val="22"/>
          <w:szCs w:val="22"/>
        </w:rPr>
        <w:t xml:space="preserve"> require that the Commission report to th</w:t>
      </w:r>
      <w:r w:rsidR="004F01AC">
        <w:rPr>
          <w:sz w:val="22"/>
          <w:szCs w:val="22"/>
        </w:rPr>
        <w:t xml:space="preserve">e </w:t>
      </w:r>
      <w:proofErr w:type="gramStart"/>
      <w:r w:rsidR="004F01AC">
        <w:rPr>
          <w:sz w:val="22"/>
          <w:szCs w:val="22"/>
        </w:rPr>
        <w:t>Board,</w:t>
      </w:r>
      <w:proofErr w:type="gramEnd"/>
      <w:r w:rsidR="004F01AC">
        <w:rPr>
          <w:sz w:val="22"/>
          <w:szCs w:val="22"/>
        </w:rPr>
        <w:t xml:space="preserve"> and the Board will be given a</w:t>
      </w:r>
      <w:r>
        <w:rPr>
          <w:sz w:val="22"/>
          <w:szCs w:val="22"/>
        </w:rPr>
        <w:t xml:space="preserve"> preview of the final report. </w:t>
      </w:r>
    </w:p>
    <w:p w14:paraId="51BBE0AE" w14:textId="77777777" w:rsidR="00460CE5" w:rsidRPr="00015820" w:rsidRDefault="00460CE5" w:rsidP="006A52D8">
      <w:pPr>
        <w:rPr>
          <w:sz w:val="22"/>
          <w:szCs w:val="22"/>
        </w:rPr>
      </w:pPr>
    </w:p>
    <w:sectPr w:rsidR="00460CE5" w:rsidRPr="00015820">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BE0B1" w14:textId="77777777" w:rsidR="004135B4" w:rsidRDefault="004135B4" w:rsidP="006A52D8">
      <w:r>
        <w:separator/>
      </w:r>
    </w:p>
  </w:endnote>
  <w:endnote w:type="continuationSeparator" w:id="0">
    <w:p w14:paraId="51BBE0B2" w14:textId="77777777" w:rsidR="004135B4" w:rsidRDefault="004135B4" w:rsidP="006A5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Raavi"/>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CBBF5" w14:textId="77777777" w:rsidR="00A44CE5" w:rsidRDefault="00A44C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BE0BD" w14:textId="77777777" w:rsidR="006A52D8" w:rsidRDefault="006A52D8">
    <w:pPr>
      <w:pStyle w:val="Footer"/>
      <w:jc w:val="center"/>
    </w:pPr>
  </w:p>
  <w:p w14:paraId="51BBE0BE" w14:textId="77777777" w:rsidR="006A52D8" w:rsidRDefault="006A52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CF884" w14:textId="77777777" w:rsidR="00A44CE5" w:rsidRDefault="00A44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BE0AF" w14:textId="77777777" w:rsidR="004135B4" w:rsidRDefault="004135B4" w:rsidP="006A52D8">
      <w:r>
        <w:separator/>
      </w:r>
    </w:p>
  </w:footnote>
  <w:footnote w:type="continuationSeparator" w:id="0">
    <w:p w14:paraId="51BBE0B0" w14:textId="77777777" w:rsidR="004135B4" w:rsidRDefault="004135B4" w:rsidP="006A5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64572" w14:textId="77777777" w:rsidR="00A44CE5" w:rsidRDefault="00A44C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504"/>
      <w:gridCol w:w="3018"/>
    </w:tblGrid>
    <w:tr w:rsidR="00D51C47" w:rsidRPr="00374227" w14:paraId="51BBE0B5" w14:textId="77777777" w:rsidTr="00076A1E">
      <w:tc>
        <w:tcPr>
          <w:tcW w:w="5920" w:type="dxa"/>
          <w:vMerge w:val="restart"/>
          <w:shd w:val="clear" w:color="auto" w:fill="auto"/>
        </w:tcPr>
        <w:p w14:paraId="51BBE0B3" w14:textId="77777777" w:rsidR="00D51C47" w:rsidRPr="00374227" w:rsidRDefault="00D51C47" w:rsidP="00076A1E">
          <w:pPr>
            <w:pStyle w:val="Header"/>
            <w:tabs>
              <w:tab w:val="center" w:pos="2923"/>
            </w:tabs>
          </w:pPr>
          <w:bookmarkStart w:id="0" w:name="_GoBack" w:colFirst="1" w:colLast="1"/>
          <w:r>
            <w:rPr>
              <w:noProof/>
              <w:sz w:val="44"/>
              <w:szCs w:val="44"/>
            </w:rPr>
            <w:drawing>
              <wp:inline distT="0" distB="0" distL="0" distR="0" wp14:anchorId="51BBE0BF" wp14:editId="51BBE0C0">
                <wp:extent cx="1085850" cy="64770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260" w:type="dxa"/>
          <w:shd w:val="clear" w:color="auto" w:fill="auto"/>
          <w:vAlign w:val="center"/>
        </w:tcPr>
        <w:p w14:paraId="51BBE0B4" w14:textId="77777777" w:rsidR="00D51C47" w:rsidRPr="00A44CE5" w:rsidRDefault="00D51C47" w:rsidP="00076A1E">
          <w:pPr>
            <w:pStyle w:val="Header"/>
            <w:rPr>
              <w:b/>
              <w:sz w:val="22"/>
              <w:szCs w:val="22"/>
            </w:rPr>
          </w:pPr>
          <w:r w:rsidRPr="00A44CE5">
            <w:rPr>
              <w:b/>
              <w:sz w:val="22"/>
              <w:szCs w:val="22"/>
            </w:rPr>
            <w:t>People and Places Board</w:t>
          </w:r>
        </w:p>
      </w:tc>
    </w:tr>
    <w:tr w:rsidR="00D51C47" w:rsidRPr="00374227" w14:paraId="51BBE0B8" w14:textId="77777777" w:rsidTr="00076A1E">
      <w:trPr>
        <w:trHeight w:val="450"/>
      </w:trPr>
      <w:tc>
        <w:tcPr>
          <w:tcW w:w="5920" w:type="dxa"/>
          <w:vMerge/>
          <w:shd w:val="clear" w:color="auto" w:fill="auto"/>
        </w:tcPr>
        <w:p w14:paraId="51BBE0B6" w14:textId="77777777" w:rsidR="00D51C47" w:rsidRPr="00374227" w:rsidRDefault="00D51C47" w:rsidP="00076A1E">
          <w:pPr>
            <w:pStyle w:val="Header"/>
          </w:pPr>
        </w:p>
      </w:tc>
      <w:tc>
        <w:tcPr>
          <w:tcW w:w="3260" w:type="dxa"/>
          <w:shd w:val="clear" w:color="auto" w:fill="auto"/>
          <w:vAlign w:val="center"/>
        </w:tcPr>
        <w:p w14:paraId="51BBE0B7" w14:textId="77777777" w:rsidR="00D51C47" w:rsidRPr="00A44CE5" w:rsidRDefault="00D51C47" w:rsidP="00076A1E">
          <w:pPr>
            <w:pStyle w:val="Header"/>
            <w:spacing w:before="60"/>
            <w:rPr>
              <w:sz w:val="22"/>
              <w:szCs w:val="22"/>
            </w:rPr>
          </w:pPr>
          <w:r w:rsidRPr="00A44CE5">
            <w:rPr>
              <w:sz w:val="22"/>
              <w:szCs w:val="22"/>
            </w:rPr>
            <w:t>16 June 2014</w:t>
          </w:r>
        </w:p>
      </w:tc>
    </w:tr>
    <w:tr w:rsidR="00D51C47" w:rsidRPr="00374227" w14:paraId="51BBE0BB" w14:textId="77777777" w:rsidTr="00076A1E">
      <w:trPr>
        <w:trHeight w:val="708"/>
      </w:trPr>
      <w:tc>
        <w:tcPr>
          <w:tcW w:w="5920" w:type="dxa"/>
          <w:vMerge/>
          <w:shd w:val="clear" w:color="auto" w:fill="auto"/>
        </w:tcPr>
        <w:p w14:paraId="51BBE0B9" w14:textId="77777777" w:rsidR="00D51C47" w:rsidRPr="00374227" w:rsidRDefault="00D51C47" w:rsidP="00076A1E">
          <w:pPr>
            <w:pStyle w:val="Header"/>
          </w:pPr>
        </w:p>
      </w:tc>
      <w:tc>
        <w:tcPr>
          <w:tcW w:w="3260" w:type="dxa"/>
          <w:shd w:val="clear" w:color="auto" w:fill="auto"/>
          <w:vAlign w:val="center"/>
        </w:tcPr>
        <w:p w14:paraId="51BBE0BA" w14:textId="19EC17E7" w:rsidR="00D51C47" w:rsidRPr="00A44CE5" w:rsidRDefault="00D51C47" w:rsidP="00076A1E">
          <w:pPr>
            <w:pStyle w:val="Header"/>
            <w:spacing w:before="60"/>
            <w:rPr>
              <w:b/>
              <w:sz w:val="22"/>
              <w:szCs w:val="22"/>
            </w:rPr>
          </w:pPr>
        </w:p>
      </w:tc>
    </w:tr>
    <w:bookmarkEnd w:id="0"/>
  </w:tbl>
  <w:p w14:paraId="51BBE0BC" w14:textId="77777777" w:rsidR="00D51C47" w:rsidRDefault="00D51C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F6D2D" w14:textId="77777777" w:rsidR="00A44CE5" w:rsidRDefault="00A44C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16D3"/>
    <w:multiLevelType w:val="hybridMultilevel"/>
    <w:tmpl w:val="C136A4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E25C81"/>
    <w:multiLevelType w:val="hybridMultilevel"/>
    <w:tmpl w:val="EF88C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A0537B"/>
    <w:multiLevelType w:val="hybridMultilevel"/>
    <w:tmpl w:val="CB98092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
    <w:nsid w:val="3B9503BC"/>
    <w:multiLevelType w:val="hybridMultilevel"/>
    <w:tmpl w:val="FC20EB14"/>
    <w:lvl w:ilvl="0" w:tplc="612E85FC">
      <w:start w:val="1"/>
      <w:numFmt w:val="decimal"/>
      <w:lvlText w:val="16.%1"/>
      <w:lvlJc w:val="left"/>
      <w:pPr>
        <w:ind w:left="1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156213"/>
    <w:multiLevelType w:val="hybridMultilevel"/>
    <w:tmpl w:val="6B701D2E"/>
    <w:lvl w:ilvl="0" w:tplc="9690856A">
      <w:start w:val="1"/>
      <w:numFmt w:val="decimal"/>
      <w:lvlText w:val="5.%1"/>
      <w:lvlJc w:val="left"/>
      <w:pPr>
        <w:ind w:left="11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6782B85"/>
    <w:multiLevelType w:val="hybridMultilevel"/>
    <w:tmpl w:val="7C0C50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77E5676E"/>
    <w:multiLevelType w:val="hybridMultilevel"/>
    <w:tmpl w:val="890C06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7ECF26C5"/>
    <w:multiLevelType w:val="hybridMultilevel"/>
    <w:tmpl w:val="2452D6FC"/>
    <w:lvl w:ilvl="0" w:tplc="06B8FCA8">
      <w:start w:val="1"/>
      <w:numFmt w:val="decimal"/>
      <w:lvlText w:val="2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0"/>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910"/>
    <w:rsid w:val="0000192C"/>
    <w:rsid w:val="00015820"/>
    <w:rsid w:val="00016081"/>
    <w:rsid w:val="00047D15"/>
    <w:rsid w:val="000920A9"/>
    <w:rsid w:val="000D7964"/>
    <w:rsid w:val="00266CAA"/>
    <w:rsid w:val="002D7875"/>
    <w:rsid w:val="00391EC7"/>
    <w:rsid w:val="003D7794"/>
    <w:rsid w:val="003E5FD8"/>
    <w:rsid w:val="004135B4"/>
    <w:rsid w:val="00460CE5"/>
    <w:rsid w:val="004F01AC"/>
    <w:rsid w:val="005335AC"/>
    <w:rsid w:val="005B2AAA"/>
    <w:rsid w:val="00630657"/>
    <w:rsid w:val="006A52D8"/>
    <w:rsid w:val="006D17B9"/>
    <w:rsid w:val="00701910"/>
    <w:rsid w:val="007D1822"/>
    <w:rsid w:val="009170D3"/>
    <w:rsid w:val="00974DD7"/>
    <w:rsid w:val="00A44CE5"/>
    <w:rsid w:val="00A97178"/>
    <w:rsid w:val="00B03F4B"/>
    <w:rsid w:val="00B80631"/>
    <w:rsid w:val="00BA77C1"/>
    <w:rsid w:val="00C917F4"/>
    <w:rsid w:val="00CD6588"/>
    <w:rsid w:val="00D51C47"/>
    <w:rsid w:val="00E5303F"/>
    <w:rsid w:val="00E60550"/>
    <w:rsid w:val="00E659B8"/>
    <w:rsid w:val="00F039D1"/>
    <w:rsid w:val="00F23E76"/>
    <w:rsid w:val="00FE7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B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60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6">
    <w:name w:val="s6"/>
    <w:basedOn w:val="Normal"/>
    <w:rsid w:val="00016081"/>
    <w:pPr>
      <w:spacing w:before="100" w:beforeAutospacing="1" w:after="100" w:afterAutospacing="1"/>
    </w:pPr>
    <w:rPr>
      <w:rFonts w:ascii="Times New Roman" w:eastAsia="Calibri" w:hAnsi="Times New Roman" w:cs="Times New Roman"/>
    </w:rPr>
  </w:style>
  <w:style w:type="character" w:customStyle="1" w:styleId="s9">
    <w:name w:val="s9"/>
    <w:basedOn w:val="DefaultParagraphFont"/>
    <w:rsid w:val="00016081"/>
  </w:style>
  <w:style w:type="paragraph" w:styleId="ListParagraph">
    <w:name w:val="List Paragraph"/>
    <w:basedOn w:val="Normal"/>
    <w:uiPriority w:val="34"/>
    <w:qFormat/>
    <w:rsid w:val="00F23E76"/>
    <w:pPr>
      <w:ind w:left="720"/>
      <w:contextualSpacing/>
    </w:pPr>
  </w:style>
  <w:style w:type="character" w:styleId="Hyperlink">
    <w:name w:val="Hyperlink"/>
    <w:basedOn w:val="DefaultParagraphFont"/>
    <w:rsid w:val="003E5FD8"/>
    <w:rPr>
      <w:color w:val="0000FF" w:themeColor="hyperlink"/>
      <w:u w:val="single"/>
    </w:rPr>
  </w:style>
  <w:style w:type="character" w:styleId="CommentReference">
    <w:name w:val="annotation reference"/>
    <w:basedOn w:val="DefaultParagraphFont"/>
    <w:rsid w:val="003E5FD8"/>
    <w:rPr>
      <w:sz w:val="16"/>
      <w:szCs w:val="16"/>
    </w:rPr>
  </w:style>
  <w:style w:type="paragraph" w:styleId="CommentText">
    <w:name w:val="annotation text"/>
    <w:basedOn w:val="Normal"/>
    <w:link w:val="CommentTextChar"/>
    <w:rsid w:val="003E5FD8"/>
    <w:rPr>
      <w:sz w:val="20"/>
      <w:szCs w:val="20"/>
    </w:rPr>
  </w:style>
  <w:style w:type="character" w:customStyle="1" w:styleId="CommentTextChar">
    <w:name w:val="Comment Text Char"/>
    <w:basedOn w:val="DefaultParagraphFont"/>
    <w:link w:val="CommentText"/>
    <w:rsid w:val="003E5FD8"/>
    <w:rPr>
      <w:rFonts w:ascii="Arial" w:hAnsi="Arial" w:cs="Arial"/>
    </w:rPr>
  </w:style>
  <w:style w:type="paragraph" w:styleId="CommentSubject">
    <w:name w:val="annotation subject"/>
    <w:basedOn w:val="CommentText"/>
    <w:next w:val="CommentText"/>
    <w:link w:val="CommentSubjectChar"/>
    <w:rsid w:val="003E5FD8"/>
    <w:rPr>
      <w:b/>
      <w:bCs/>
    </w:rPr>
  </w:style>
  <w:style w:type="character" w:customStyle="1" w:styleId="CommentSubjectChar">
    <w:name w:val="Comment Subject Char"/>
    <w:basedOn w:val="CommentTextChar"/>
    <w:link w:val="CommentSubject"/>
    <w:rsid w:val="003E5FD8"/>
    <w:rPr>
      <w:rFonts w:ascii="Arial" w:hAnsi="Arial" w:cs="Arial"/>
      <w:b/>
      <w:bCs/>
    </w:rPr>
  </w:style>
  <w:style w:type="paragraph" w:styleId="BalloonText">
    <w:name w:val="Balloon Text"/>
    <w:basedOn w:val="Normal"/>
    <w:link w:val="BalloonTextChar"/>
    <w:rsid w:val="003E5FD8"/>
    <w:rPr>
      <w:rFonts w:ascii="Tahoma" w:hAnsi="Tahoma" w:cs="Tahoma"/>
      <w:sz w:val="16"/>
      <w:szCs w:val="16"/>
    </w:rPr>
  </w:style>
  <w:style w:type="character" w:customStyle="1" w:styleId="BalloonTextChar">
    <w:name w:val="Balloon Text Char"/>
    <w:basedOn w:val="DefaultParagraphFont"/>
    <w:link w:val="BalloonText"/>
    <w:rsid w:val="003E5FD8"/>
    <w:rPr>
      <w:rFonts w:ascii="Tahoma" w:hAnsi="Tahoma" w:cs="Tahoma"/>
      <w:sz w:val="16"/>
      <w:szCs w:val="16"/>
    </w:rPr>
  </w:style>
  <w:style w:type="paragraph" w:styleId="Header">
    <w:name w:val="header"/>
    <w:basedOn w:val="Normal"/>
    <w:link w:val="HeaderChar"/>
    <w:rsid w:val="006A52D8"/>
    <w:pPr>
      <w:tabs>
        <w:tab w:val="center" w:pos="4513"/>
        <w:tab w:val="right" w:pos="9026"/>
      </w:tabs>
    </w:pPr>
  </w:style>
  <w:style w:type="character" w:customStyle="1" w:styleId="HeaderChar">
    <w:name w:val="Header Char"/>
    <w:basedOn w:val="DefaultParagraphFont"/>
    <w:link w:val="Header"/>
    <w:rsid w:val="006A52D8"/>
    <w:rPr>
      <w:rFonts w:ascii="Arial" w:hAnsi="Arial" w:cs="Arial"/>
      <w:sz w:val="24"/>
      <w:szCs w:val="24"/>
    </w:rPr>
  </w:style>
  <w:style w:type="paragraph" w:styleId="Footer">
    <w:name w:val="footer"/>
    <w:basedOn w:val="Normal"/>
    <w:link w:val="FooterChar"/>
    <w:uiPriority w:val="99"/>
    <w:rsid w:val="006A52D8"/>
    <w:pPr>
      <w:tabs>
        <w:tab w:val="center" w:pos="4513"/>
        <w:tab w:val="right" w:pos="9026"/>
      </w:tabs>
    </w:pPr>
  </w:style>
  <w:style w:type="character" w:customStyle="1" w:styleId="FooterChar">
    <w:name w:val="Footer Char"/>
    <w:basedOn w:val="DefaultParagraphFont"/>
    <w:link w:val="Footer"/>
    <w:uiPriority w:val="99"/>
    <w:rsid w:val="006A52D8"/>
    <w:rPr>
      <w:rFonts w:ascii="Arial" w:hAnsi="Arial" w:cs="Arial"/>
      <w:sz w:val="24"/>
      <w:szCs w:val="24"/>
    </w:rPr>
  </w:style>
  <w:style w:type="paragraph" w:customStyle="1" w:styleId="MainText">
    <w:name w:val="Main Text"/>
    <w:basedOn w:val="Normal"/>
    <w:rsid w:val="00D51C47"/>
    <w:pPr>
      <w:spacing w:line="280" w:lineRule="exact"/>
    </w:pPr>
    <w:rPr>
      <w:rFonts w:ascii="Frutiger 45 Light" w:hAnsi="Frutiger 45 Light"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60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6">
    <w:name w:val="s6"/>
    <w:basedOn w:val="Normal"/>
    <w:rsid w:val="00016081"/>
    <w:pPr>
      <w:spacing w:before="100" w:beforeAutospacing="1" w:after="100" w:afterAutospacing="1"/>
    </w:pPr>
    <w:rPr>
      <w:rFonts w:ascii="Times New Roman" w:eastAsia="Calibri" w:hAnsi="Times New Roman" w:cs="Times New Roman"/>
    </w:rPr>
  </w:style>
  <w:style w:type="character" w:customStyle="1" w:styleId="s9">
    <w:name w:val="s9"/>
    <w:basedOn w:val="DefaultParagraphFont"/>
    <w:rsid w:val="00016081"/>
  </w:style>
  <w:style w:type="paragraph" w:styleId="ListParagraph">
    <w:name w:val="List Paragraph"/>
    <w:basedOn w:val="Normal"/>
    <w:uiPriority w:val="34"/>
    <w:qFormat/>
    <w:rsid w:val="00F23E76"/>
    <w:pPr>
      <w:ind w:left="720"/>
      <w:contextualSpacing/>
    </w:pPr>
  </w:style>
  <w:style w:type="character" w:styleId="Hyperlink">
    <w:name w:val="Hyperlink"/>
    <w:basedOn w:val="DefaultParagraphFont"/>
    <w:rsid w:val="003E5FD8"/>
    <w:rPr>
      <w:color w:val="0000FF" w:themeColor="hyperlink"/>
      <w:u w:val="single"/>
    </w:rPr>
  </w:style>
  <w:style w:type="character" w:styleId="CommentReference">
    <w:name w:val="annotation reference"/>
    <w:basedOn w:val="DefaultParagraphFont"/>
    <w:rsid w:val="003E5FD8"/>
    <w:rPr>
      <w:sz w:val="16"/>
      <w:szCs w:val="16"/>
    </w:rPr>
  </w:style>
  <w:style w:type="paragraph" w:styleId="CommentText">
    <w:name w:val="annotation text"/>
    <w:basedOn w:val="Normal"/>
    <w:link w:val="CommentTextChar"/>
    <w:rsid w:val="003E5FD8"/>
    <w:rPr>
      <w:sz w:val="20"/>
      <w:szCs w:val="20"/>
    </w:rPr>
  </w:style>
  <w:style w:type="character" w:customStyle="1" w:styleId="CommentTextChar">
    <w:name w:val="Comment Text Char"/>
    <w:basedOn w:val="DefaultParagraphFont"/>
    <w:link w:val="CommentText"/>
    <w:rsid w:val="003E5FD8"/>
    <w:rPr>
      <w:rFonts w:ascii="Arial" w:hAnsi="Arial" w:cs="Arial"/>
    </w:rPr>
  </w:style>
  <w:style w:type="paragraph" w:styleId="CommentSubject">
    <w:name w:val="annotation subject"/>
    <w:basedOn w:val="CommentText"/>
    <w:next w:val="CommentText"/>
    <w:link w:val="CommentSubjectChar"/>
    <w:rsid w:val="003E5FD8"/>
    <w:rPr>
      <w:b/>
      <w:bCs/>
    </w:rPr>
  </w:style>
  <w:style w:type="character" w:customStyle="1" w:styleId="CommentSubjectChar">
    <w:name w:val="Comment Subject Char"/>
    <w:basedOn w:val="CommentTextChar"/>
    <w:link w:val="CommentSubject"/>
    <w:rsid w:val="003E5FD8"/>
    <w:rPr>
      <w:rFonts w:ascii="Arial" w:hAnsi="Arial" w:cs="Arial"/>
      <w:b/>
      <w:bCs/>
    </w:rPr>
  </w:style>
  <w:style w:type="paragraph" w:styleId="BalloonText">
    <w:name w:val="Balloon Text"/>
    <w:basedOn w:val="Normal"/>
    <w:link w:val="BalloonTextChar"/>
    <w:rsid w:val="003E5FD8"/>
    <w:rPr>
      <w:rFonts w:ascii="Tahoma" w:hAnsi="Tahoma" w:cs="Tahoma"/>
      <w:sz w:val="16"/>
      <w:szCs w:val="16"/>
    </w:rPr>
  </w:style>
  <w:style w:type="character" w:customStyle="1" w:styleId="BalloonTextChar">
    <w:name w:val="Balloon Text Char"/>
    <w:basedOn w:val="DefaultParagraphFont"/>
    <w:link w:val="BalloonText"/>
    <w:rsid w:val="003E5FD8"/>
    <w:rPr>
      <w:rFonts w:ascii="Tahoma" w:hAnsi="Tahoma" w:cs="Tahoma"/>
      <w:sz w:val="16"/>
      <w:szCs w:val="16"/>
    </w:rPr>
  </w:style>
  <w:style w:type="paragraph" w:styleId="Header">
    <w:name w:val="header"/>
    <w:basedOn w:val="Normal"/>
    <w:link w:val="HeaderChar"/>
    <w:rsid w:val="006A52D8"/>
    <w:pPr>
      <w:tabs>
        <w:tab w:val="center" w:pos="4513"/>
        <w:tab w:val="right" w:pos="9026"/>
      </w:tabs>
    </w:pPr>
  </w:style>
  <w:style w:type="character" w:customStyle="1" w:styleId="HeaderChar">
    <w:name w:val="Header Char"/>
    <w:basedOn w:val="DefaultParagraphFont"/>
    <w:link w:val="Header"/>
    <w:rsid w:val="006A52D8"/>
    <w:rPr>
      <w:rFonts w:ascii="Arial" w:hAnsi="Arial" w:cs="Arial"/>
      <w:sz w:val="24"/>
      <w:szCs w:val="24"/>
    </w:rPr>
  </w:style>
  <w:style w:type="paragraph" w:styleId="Footer">
    <w:name w:val="footer"/>
    <w:basedOn w:val="Normal"/>
    <w:link w:val="FooterChar"/>
    <w:uiPriority w:val="99"/>
    <w:rsid w:val="006A52D8"/>
    <w:pPr>
      <w:tabs>
        <w:tab w:val="center" w:pos="4513"/>
        <w:tab w:val="right" w:pos="9026"/>
      </w:tabs>
    </w:pPr>
  </w:style>
  <w:style w:type="character" w:customStyle="1" w:styleId="FooterChar">
    <w:name w:val="Footer Char"/>
    <w:basedOn w:val="DefaultParagraphFont"/>
    <w:link w:val="Footer"/>
    <w:uiPriority w:val="99"/>
    <w:rsid w:val="006A52D8"/>
    <w:rPr>
      <w:rFonts w:ascii="Arial" w:hAnsi="Arial" w:cs="Arial"/>
      <w:sz w:val="24"/>
      <w:szCs w:val="24"/>
    </w:rPr>
  </w:style>
  <w:style w:type="paragraph" w:customStyle="1" w:styleId="MainText">
    <w:name w:val="Main Text"/>
    <w:basedOn w:val="Normal"/>
    <w:rsid w:val="00D51C47"/>
    <w:pPr>
      <w:spacing w:line="280" w:lineRule="exact"/>
    </w:pPr>
    <w:rPr>
      <w:rFonts w:ascii="Frutiger 45 Light" w:hAnsi="Frutiger 45 Light"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4144">
      <w:bodyDiv w:val="1"/>
      <w:marLeft w:val="0"/>
      <w:marRight w:val="0"/>
      <w:marTop w:val="0"/>
      <w:marBottom w:val="0"/>
      <w:divBdr>
        <w:top w:val="none" w:sz="0" w:space="0" w:color="auto"/>
        <w:left w:val="none" w:sz="0" w:space="0" w:color="auto"/>
        <w:bottom w:val="none" w:sz="0" w:space="0" w:color="auto"/>
        <w:right w:val="none" w:sz="0" w:space="0" w:color="auto"/>
      </w:divBdr>
    </w:div>
    <w:div w:id="24877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yn.downs@local.gov.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ocal.gov.uk/non-met-commissio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979</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elizabeth.spratt</dc:creator>
  <cp:lastModifiedBy>Stephen Service</cp:lastModifiedBy>
  <cp:revision>4</cp:revision>
  <cp:lastPrinted>2014-06-09T15:52:00Z</cp:lastPrinted>
  <dcterms:created xsi:type="dcterms:W3CDTF">2014-06-09T15:53:00Z</dcterms:created>
  <dcterms:modified xsi:type="dcterms:W3CDTF">2014-06-10T13:36:00Z</dcterms:modified>
</cp:coreProperties>
</file>

<file path=docProps/custom.xml><?xml version="1.0" encoding="utf-8"?>
<op:Properties xmlns:op="http://schemas.openxmlformats.org/officeDocument/2006/custom-properties"/>
</file>